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EECDF" w14:textId="5ACEDD38" w:rsidR="00801B91" w:rsidRPr="00565CF2" w:rsidRDefault="00BA4265" w:rsidP="00801B91">
      <w:pPr>
        <w:rPr>
          <w:rStyle w:val="Titolo1Carattere"/>
          <w:lang w:val="en-GB"/>
        </w:rPr>
      </w:pPr>
      <w:r w:rsidRPr="00565CF2">
        <w:rPr>
          <w:lang w:val="en-GB"/>
        </w:rPr>
        <w:br/>
      </w:r>
      <w:r w:rsidRPr="00565CF2">
        <w:rPr>
          <w:lang w:val="en-GB"/>
        </w:rPr>
        <w:br/>
      </w:r>
      <w:r w:rsidR="00801B91" w:rsidRPr="00565CF2">
        <w:rPr>
          <w:rStyle w:val="Titolo1Carattere"/>
          <w:lang w:val="en-GB"/>
        </w:rPr>
        <w:t>Tool 5 – Lessons Learned Synthesis</w:t>
      </w:r>
    </w:p>
    <w:p w14:paraId="2E71E042" w14:textId="77777777" w:rsidR="00801B91" w:rsidRPr="00565CF2" w:rsidRDefault="00801B91" w:rsidP="00801B91">
      <w:pPr>
        <w:pStyle w:val="Titolo2"/>
        <w:rPr>
          <w:lang w:val="en-GB"/>
        </w:rPr>
      </w:pPr>
      <w:proofErr w:type="spellStart"/>
      <w:r w:rsidRPr="00565CF2">
        <w:rPr>
          <w:lang w:val="en-GB"/>
        </w:rPr>
        <w:t>eWAsTER</w:t>
      </w:r>
      <w:proofErr w:type="spellEnd"/>
      <w:r w:rsidRPr="00565CF2">
        <w:rPr>
          <w:lang w:val="en-GB"/>
        </w:rPr>
        <w:t xml:space="preserve"> Project – Interreg Euro-MED  </w:t>
      </w:r>
    </w:p>
    <w:p w14:paraId="61B5151F" w14:textId="77777777" w:rsidR="00801B91" w:rsidRPr="00565CF2" w:rsidRDefault="00801B91" w:rsidP="00801B91">
      <w:pPr>
        <w:rPr>
          <w:b/>
          <w:bCs/>
          <w:lang w:val="en-GB"/>
        </w:rPr>
      </w:pPr>
      <w:r w:rsidRPr="00565CF2">
        <w:rPr>
          <w:b/>
          <w:bCs/>
          <w:lang w:val="en-GB"/>
        </w:rPr>
        <w:t xml:space="preserve">D.3.4.1 Transfer Package and Strategic Framework  </w:t>
      </w:r>
    </w:p>
    <w:p w14:paraId="7AF83B99" w14:textId="77777777" w:rsidR="00801B91" w:rsidRPr="00565CF2" w:rsidRDefault="00801B91" w:rsidP="00801B91">
      <w:pPr>
        <w:rPr>
          <w:b/>
          <w:bCs/>
          <w:lang w:val="en-GB"/>
        </w:rPr>
      </w:pPr>
      <w:r w:rsidRPr="00565CF2">
        <w:rPr>
          <w:b/>
          <w:bCs/>
          <w:lang w:val="en-GB"/>
        </w:rPr>
        <w:t>Component 5 of 5: Cross-Solution Learning and Adaptive Strategies</w:t>
      </w:r>
    </w:p>
    <w:p w14:paraId="201347A8" w14:textId="77777777" w:rsidR="00801B91" w:rsidRPr="00565CF2" w:rsidRDefault="00801B91" w:rsidP="00801B91">
      <w:pPr>
        <w:rPr>
          <w:lang w:val="en-GB"/>
        </w:rPr>
      </w:pPr>
      <w:r w:rsidRPr="00565CF2">
        <w:rPr>
          <w:lang w:val="en-GB"/>
        </w:rPr>
        <w:t>---</w:t>
      </w:r>
    </w:p>
    <w:p w14:paraId="1EB0C13D" w14:textId="77777777" w:rsidR="00801B91" w:rsidRPr="00565CF2" w:rsidRDefault="00801B91" w:rsidP="00801B91">
      <w:pPr>
        <w:pStyle w:val="Titolo2"/>
        <w:rPr>
          <w:lang w:val="en-GB"/>
        </w:rPr>
      </w:pPr>
      <w:r w:rsidRPr="00565CF2">
        <w:rPr>
          <w:lang w:val="en-GB"/>
        </w:rPr>
        <w:t>Document Information</w:t>
      </w:r>
    </w:p>
    <w:p w14:paraId="12971784" w14:textId="77777777" w:rsidR="00801B91" w:rsidRPr="00565CF2" w:rsidRDefault="00801B91" w:rsidP="00F42F56">
      <w:pPr>
        <w:rPr>
          <w:lang w:val="en-GB"/>
        </w:rPr>
      </w:pPr>
      <w:r w:rsidRPr="00565CF2">
        <w:rPr>
          <w:lang w:val="en-GB"/>
        </w:rPr>
        <w:t xml:space="preserve">This tool collects the main lessons that emerged from the implementation of the three pilots and translates them into operational indications for future territories interested in replicating or adapting </w:t>
      </w:r>
      <w:proofErr w:type="spellStart"/>
      <w:r w:rsidRPr="00565CF2">
        <w:rPr>
          <w:lang w:val="en-GB"/>
        </w:rPr>
        <w:t>eWAsTER</w:t>
      </w:r>
      <w:proofErr w:type="spellEnd"/>
      <w:r w:rsidRPr="00565CF2">
        <w:rPr>
          <w:lang w:val="en-GB"/>
        </w:rPr>
        <w:t xml:space="preserve"> solutions. The structure has been designed to be useful both in the strategic evaluation phase and in the operational design phase, with a balance between narrative reading and synthetic comparison.</w:t>
      </w:r>
    </w:p>
    <w:tbl>
      <w:tblPr>
        <w:tblW w:w="5000" w:type="pct"/>
        <w:tblCellMar>
          <w:top w:w="15" w:type="dxa"/>
          <w:left w:w="15" w:type="dxa"/>
          <w:bottom w:w="15" w:type="dxa"/>
          <w:right w:w="15" w:type="dxa"/>
        </w:tblCellMar>
        <w:tblLook w:val="04A0" w:firstRow="1" w:lastRow="0" w:firstColumn="1" w:lastColumn="0" w:noHBand="0" w:noVBand="1"/>
      </w:tblPr>
      <w:tblGrid>
        <w:gridCol w:w="1731"/>
        <w:gridCol w:w="7149"/>
      </w:tblGrid>
      <w:tr w:rsidR="007D6FF2" w:rsidRPr="00565CF2" w14:paraId="5830A0EF"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71ED3432" w14:textId="77777777" w:rsidR="007D6FF2" w:rsidRPr="00565CF2" w:rsidRDefault="007D6FF2" w:rsidP="007D6FF2">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Field</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33F85062" w14:textId="77777777" w:rsidR="007D6FF2" w:rsidRPr="00565CF2" w:rsidRDefault="007D6FF2" w:rsidP="007D6FF2">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Details</w:t>
            </w:r>
          </w:p>
        </w:tc>
      </w:tr>
      <w:tr w:rsidR="007D6FF2" w:rsidRPr="00565CF2" w14:paraId="14F2D716"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C9AC8CA" w14:textId="77777777" w:rsidR="007D6FF2" w:rsidRPr="00565CF2" w:rsidRDefault="007D6FF2" w:rsidP="007D6FF2">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Responsible Partner</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915D0AA" w14:textId="77777777" w:rsidR="007D6FF2" w:rsidRPr="00565CF2" w:rsidRDefault="007D6FF2" w:rsidP="007D6FF2">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UCPB (PP8) – WP3 Coordinator</w:t>
            </w:r>
          </w:p>
        </w:tc>
      </w:tr>
      <w:tr w:rsidR="007D6FF2" w:rsidRPr="00565CF2" w14:paraId="1D0DE3BB"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3322BDA" w14:textId="77777777" w:rsidR="007D6FF2" w:rsidRPr="00565CF2" w:rsidRDefault="007D6FF2" w:rsidP="007D6FF2">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Contributing Partners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6C92142" w14:textId="77777777" w:rsidR="007D6FF2" w:rsidRPr="00565CF2" w:rsidRDefault="007D6FF2" w:rsidP="007D6FF2">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ARADIPPOU (WEEE BEHAVE), NEUM (0WEEE PROCURE), LINK (WEEE REUSE)</w:t>
            </w:r>
          </w:p>
        </w:tc>
      </w:tr>
      <w:tr w:rsidR="007D6FF2" w:rsidRPr="00565CF2" w14:paraId="5EB1A248"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8E62F10" w14:textId="77777777" w:rsidR="007D6FF2" w:rsidRPr="00565CF2" w:rsidRDefault="007D6FF2" w:rsidP="007D6FF2">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Document Type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1A84024" w14:textId="77777777" w:rsidR="007D6FF2" w:rsidRPr="00565CF2" w:rsidRDefault="007D6FF2" w:rsidP="007D6FF2">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Analytical Tool – Lessons Learned Synthesis</w:t>
            </w:r>
          </w:p>
        </w:tc>
      </w:tr>
      <w:tr w:rsidR="007D6FF2" w:rsidRPr="00565CF2" w14:paraId="7D7797C8"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FAB9213" w14:textId="77777777" w:rsidR="007D6FF2" w:rsidRPr="00565CF2" w:rsidRDefault="007D6FF2" w:rsidP="007D6FF2">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Target Audience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40FCEA6" w14:textId="77777777" w:rsidR="007D6FF2" w:rsidRPr="00565CF2" w:rsidRDefault="007D6FF2" w:rsidP="007D6FF2">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Future implementers, policy makers, Euro-MED programme stakeholders</w:t>
            </w:r>
          </w:p>
        </w:tc>
      </w:tr>
      <w:tr w:rsidR="007D6FF2" w:rsidRPr="00565CF2" w14:paraId="0D06E915"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006DFEB" w14:textId="77777777" w:rsidR="007D6FF2" w:rsidRPr="00565CF2" w:rsidRDefault="007D6FF2" w:rsidP="007D6FF2">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Version Status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2C93BC5" w14:textId="77777777" w:rsidR="007D6FF2" w:rsidRPr="00565CF2" w:rsidRDefault="007D6FF2" w:rsidP="007D6FF2">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Final version</w:t>
            </w:r>
          </w:p>
        </w:tc>
      </w:tr>
      <w:tr w:rsidR="007D6FF2" w:rsidRPr="00565CF2" w14:paraId="7E680BD0"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D288F69" w14:textId="77777777" w:rsidR="007D6FF2" w:rsidRPr="00565CF2" w:rsidRDefault="007D6FF2" w:rsidP="007D6FF2">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Date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812A59A" w14:textId="77777777" w:rsidR="007D6FF2" w:rsidRPr="00565CF2" w:rsidRDefault="007D6FF2" w:rsidP="007D6FF2">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29 May 2026</w:t>
            </w:r>
          </w:p>
        </w:tc>
      </w:tr>
      <w:tr w:rsidR="007D6FF2" w:rsidRPr="00565CF2" w14:paraId="3E17C756"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89A28F7" w14:textId="77777777" w:rsidR="007D6FF2" w:rsidRPr="00565CF2" w:rsidRDefault="007D6FF2" w:rsidP="007D6FF2">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Related Documents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D22760E" w14:textId="77777777" w:rsidR="007D6FF2" w:rsidRPr="00565CF2" w:rsidRDefault="007D6FF2" w:rsidP="007D6FF2">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Tool 1 Transferability Matrix; Tool 2 KPI Dashboard; Tool 3 Solution Factsheets; Tool 4 Upscaling Roadmap; Solution Sheets (BEHAVE / PROCURE / REUSE)</w:t>
            </w:r>
          </w:p>
        </w:tc>
      </w:tr>
    </w:tbl>
    <w:p w14:paraId="4D40DAE5" w14:textId="09B22737" w:rsidR="003116F5" w:rsidRPr="00565CF2" w:rsidRDefault="003116F5" w:rsidP="00801B91">
      <w:pPr>
        <w:rPr>
          <w:lang w:val="en-GB"/>
        </w:rPr>
      </w:pPr>
    </w:p>
    <w:p w14:paraId="4977EDCB" w14:textId="77777777" w:rsidR="004C6A5F" w:rsidRDefault="004C6A5F">
      <w:pPr>
        <w:rPr>
          <w:rFonts w:asciiTheme="majorHAnsi" w:eastAsiaTheme="majorEastAsia" w:hAnsiTheme="majorHAnsi" w:cstheme="majorBidi"/>
          <w:b/>
          <w:bCs/>
          <w:color w:val="4F81BD" w:themeColor="accent1"/>
          <w:sz w:val="26"/>
          <w:szCs w:val="26"/>
          <w:lang w:val="en-GB"/>
        </w:rPr>
      </w:pPr>
      <w:r>
        <w:rPr>
          <w:lang w:val="en-GB"/>
        </w:rPr>
        <w:br w:type="page"/>
      </w:r>
    </w:p>
    <w:p w14:paraId="057A98BF" w14:textId="19ED8E47" w:rsidR="00E432C8" w:rsidRPr="00565CF2" w:rsidRDefault="00E432C8" w:rsidP="00E432C8">
      <w:pPr>
        <w:pStyle w:val="Titolo2"/>
        <w:rPr>
          <w:lang w:val="en-GB"/>
        </w:rPr>
      </w:pPr>
      <w:r w:rsidRPr="00565CF2">
        <w:rPr>
          <w:lang w:val="en-GB"/>
        </w:rPr>
        <w:lastRenderedPageBreak/>
        <w:t>Executive Summary</w:t>
      </w:r>
    </w:p>
    <w:p w14:paraId="51ED3C6E" w14:textId="785E5B34" w:rsidR="00E432C8" w:rsidRPr="00565CF2" w:rsidRDefault="00E432C8" w:rsidP="00E432C8">
      <w:pPr>
        <w:rPr>
          <w:lang w:val="en-GB"/>
        </w:rPr>
      </w:pPr>
      <w:r w:rsidRPr="00565CF2">
        <w:rPr>
          <w:lang w:val="en-GB"/>
        </w:rPr>
        <w:t xml:space="preserve">This Lessons Learned Synthesis is the fifth and final component of the </w:t>
      </w:r>
      <w:proofErr w:type="spellStart"/>
      <w:r w:rsidRPr="00565CF2">
        <w:rPr>
          <w:lang w:val="en-GB"/>
        </w:rPr>
        <w:t>eWAsTER</w:t>
      </w:r>
      <w:proofErr w:type="spellEnd"/>
      <w:r w:rsidRPr="00565CF2">
        <w:rPr>
          <w:lang w:val="en-GB"/>
        </w:rPr>
        <w:t xml:space="preserve"> Transfer Package (D.3.4.1). It captures what worked, what required correction, and what should be adapted in future replications of the three pilot solutions: WEEE BEHAVE, 0WEEE PROCURE, and WEEE REUSE.</w:t>
      </w:r>
    </w:p>
    <w:p w14:paraId="0FF8397F" w14:textId="31E1EAFC" w:rsidR="00E432C8" w:rsidRPr="00565CF2" w:rsidRDefault="00E432C8" w:rsidP="00E432C8">
      <w:pPr>
        <w:rPr>
          <w:lang w:val="en-GB"/>
        </w:rPr>
      </w:pPr>
      <w:r w:rsidRPr="00565CF2">
        <w:rPr>
          <w:lang w:val="en-GB"/>
        </w:rPr>
        <w:t>The document is intended to support future implementers by translating project experience into practical guidance. It is not simply a report of results, but a structured interpretation of pilot experience, designed to complement the transferability matrix and the upscaling roadmap.</w:t>
      </w:r>
    </w:p>
    <w:p w14:paraId="7ECBA42D" w14:textId="573BF297" w:rsidR="00E432C8" w:rsidRPr="00565CF2" w:rsidRDefault="00E432C8" w:rsidP="00E432C8">
      <w:pPr>
        <w:rPr>
          <w:lang w:val="en-GB"/>
        </w:rPr>
      </w:pPr>
      <w:r w:rsidRPr="00565CF2">
        <w:rPr>
          <w:lang w:val="en-GB"/>
        </w:rPr>
        <w:t>The synthesis draws on three main sources: the Solution Sheets completed by the solution leaders, the WP2 final reports, and the coordination experience accumulated by UCPB during WP3. This triangulated approach makes it possible to identify recurring patterns across solutions and to distinguish between general lessons and context-specific findings.</w:t>
      </w:r>
    </w:p>
    <w:p w14:paraId="65665B51" w14:textId="77777777" w:rsidR="00E432C8" w:rsidRPr="00565CF2" w:rsidRDefault="00E432C8" w:rsidP="009776A3">
      <w:pPr>
        <w:pStyle w:val="Titolo3"/>
        <w:rPr>
          <w:lang w:val="en-GB"/>
        </w:rPr>
      </w:pPr>
      <w:r w:rsidRPr="00565CF2">
        <w:rPr>
          <w:lang w:val="en-GB"/>
        </w:rPr>
        <w:t>1. Methodological Framework</w:t>
      </w:r>
    </w:p>
    <w:p w14:paraId="3C7EDBCA" w14:textId="59207D73" w:rsidR="00E432C8" w:rsidRPr="00565CF2" w:rsidRDefault="00E432C8" w:rsidP="00E432C8">
      <w:pPr>
        <w:rPr>
          <w:lang w:val="en-GB"/>
        </w:rPr>
      </w:pPr>
      <w:r w:rsidRPr="00565CF2">
        <w:rPr>
          <w:lang w:val="en-GB"/>
        </w:rPr>
        <w:t>The analytical logic of this document is intentionally simple. First, it identifies cross-solution patterns that appear repeatedly across the three pilots. Second, it isolates lessons that are specific to one solution type. Third, it converts those findings into guidance that can support future transfer in different territorial settings.</w:t>
      </w:r>
    </w:p>
    <w:p w14:paraId="5D4E0126" w14:textId="69C2A813" w:rsidR="00C97364" w:rsidRPr="00565CF2" w:rsidRDefault="00E432C8" w:rsidP="00E432C8">
      <w:pPr>
        <w:rPr>
          <w:lang w:val="en-GB"/>
        </w:rPr>
      </w:pPr>
      <w:r w:rsidRPr="00565CF2">
        <w:rPr>
          <w:lang w:val="en-GB"/>
        </w:rPr>
        <w:t>This section also clarifies the nature of the evidence used. The Solution Sheets provide the most direct practitioner perspective, while the WP2 reports confirm or qualify those observations through implementation data. UCPB coordination experience adds an additional layer of interpretation, especially where formal reporting alone does not capture the full operational picture.</w:t>
      </w:r>
    </w:p>
    <w:tbl>
      <w:tblPr>
        <w:tblW w:w="5000" w:type="pct"/>
        <w:tblCellMar>
          <w:top w:w="15" w:type="dxa"/>
          <w:left w:w="15" w:type="dxa"/>
          <w:bottom w:w="15" w:type="dxa"/>
          <w:right w:w="15" w:type="dxa"/>
        </w:tblCellMar>
        <w:tblLook w:val="04A0" w:firstRow="1" w:lastRow="0" w:firstColumn="1" w:lastColumn="0" w:noHBand="0" w:noVBand="1"/>
      </w:tblPr>
      <w:tblGrid>
        <w:gridCol w:w="2222"/>
        <w:gridCol w:w="4311"/>
        <w:gridCol w:w="2347"/>
      </w:tblGrid>
      <w:tr w:rsidR="009809AC" w:rsidRPr="00565CF2" w14:paraId="0E521C4C"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376A48E0" w14:textId="77777777" w:rsidR="009809AC" w:rsidRPr="00565CF2" w:rsidRDefault="009809AC" w:rsidP="009809AC">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Evidence source</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037A988A" w14:textId="77777777" w:rsidR="009809AC" w:rsidRPr="00565CF2" w:rsidRDefault="009809AC" w:rsidP="009809AC">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Main contribution</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113A8D79" w14:textId="77777777" w:rsidR="009809AC" w:rsidRPr="00565CF2" w:rsidRDefault="009809AC" w:rsidP="009809AC">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Role in this synthesis</w:t>
            </w:r>
          </w:p>
        </w:tc>
      </w:tr>
      <w:tr w:rsidR="009809AC" w:rsidRPr="00565CF2" w14:paraId="0CBC6396"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F145211" w14:textId="77777777" w:rsidR="009809AC" w:rsidRPr="00565CF2" w:rsidRDefault="009809AC" w:rsidP="009809AC">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Solution Sheets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99D5ACC" w14:textId="77777777" w:rsidR="009809AC" w:rsidRPr="00565CF2" w:rsidRDefault="009809AC" w:rsidP="009809AC">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Success factors, mistakes avoided, barriers, governance insights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4B13148" w14:textId="77777777" w:rsidR="009809AC" w:rsidRPr="00565CF2" w:rsidRDefault="009809AC" w:rsidP="009809AC">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Primary qualitative source</w:t>
            </w:r>
          </w:p>
        </w:tc>
      </w:tr>
      <w:tr w:rsidR="009809AC" w:rsidRPr="00565CF2" w14:paraId="3C8C90D5"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2452F76" w14:textId="77777777" w:rsidR="009809AC" w:rsidRPr="00565CF2" w:rsidRDefault="009809AC" w:rsidP="009809AC">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WP2 Final Reports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33A7DA9" w14:textId="77777777" w:rsidR="009809AC" w:rsidRPr="00565CF2" w:rsidRDefault="009809AC" w:rsidP="009809AC">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KPI achievement, territorial variation, implementation outcomes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5F3944A" w14:textId="77777777" w:rsidR="009809AC" w:rsidRPr="00565CF2" w:rsidRDefault="009809AC" w:rsidP="009809AC">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Quantitative validation</w:t>
            </w:r>
          </w:p>
        </w:tc>
      </w:tr>
      <w:tr w:rsidR="009809AC" w:rsidRPr="00565CF2" w14:paraId="10974EFD"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79D0CD3" w14:textId="77777777" w:rsidR="009809AC" w:rsidRPr="00565CF2" w:rsidRDefault="009809AC" w:rsidP="009809AC">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WP3 Coordination Experience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F01E580" w14:textId="77777777" w:rsidR="009809AC" w:rsidRPr="00565CF2" w:rsidRDefault="009809AC" w:rsidP="009809AC">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Adaptive management, coordination issues, implementation dynamics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6CE3A16" w14:textId="77777777" w:rsidR="009809AC" w:rsidRPr="00565CF2" w:rsidRDefault="009809AC" w:rsidP="009809AC">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Interpretive and contextual layer</w:t>
            </w:r>
          </w:p>
        </w:tc>
      </w:tr>
    </w:tbl>
    <w:p w14:paraId="28B2E5C6" w14:textId="77777777" w:rsidR="009776A3" w:rsidRPr="00565CF2" w:rsidRDefault="009776A3" w:rsidP="00E432C8">
      <w:pPr>
        <w:rPr>
          <w:lang w:val="en-GB"/>
        </w:rPr>
      </w:pPr>
    </w:p>
    <w:p w14:paraId="404796FE" w14:textId="2532CD01" w:rsidR="008123F2" w:rsidRPr="00565CF2" w:rsidRDefault="008123F2" w:rsidP="008123F2">
      <w:pPr>
        <w:rPr>
          <w:lang w:val="en-GB"/>
        </w:rPr>
      </w:pPr>
      <w:r w:rsidRPr="00565CF2">
        <w:rPr>
          <w:lang w:val="en-GB"/>
        </w:rPr>
        <w:t>The table above is useful because it shows that the document does not rely on one single perspective. Instead, it combines practitioner evidence, project data, and coordination learning to produce lessons that are both realistic and transferable.</w:t>
      </w:r>
    </w:p>
    <w:p w14:paraId="15786D10" w14:textId="77777777" w:rsidR="008123F2" w:rsidRPr="00565CF2" w:rsidRDefault="008123F2" w:rsidP="008123F2">
      <w:pPr>
        <w:pStyle w:val="Titolo3"/>
        <w:rPr>
          <w:lang w:val="en-GB"/>
        </w:rPr>
      </w:pPr>
      <w:r w:rsidRPr="00565CF2">
        <w:rPr>
          <w:lang w:val="en-GB"/>
        </w:rPr>
        <w:lastRenderedPageBreak/>
        <w:t>2. Cross-Solution Success Factors</w:t>
      </w:r>
    </w:p>
    <w:p w14:paraId="4306016D" w14:textId="526BF474" w:rsidR="008123F2" w:rsidRPr="00565CF2" w:rsidRDefault="008123F2" w:rsidP="008123F2">
      <w:pPr>
        <w:rPr>
          <w:lang w:val="en-GB"/>
        </w:rPr>
      </w:pPr>
      <w:r w:rsidRPr="00565CF2">
        <w:rPr>
          <w:lang w:val="en-GB"/>
        </w:rPr>
        <w:t>Across the three pilots, some success factors emerged consistently regardless of the solution type. These are the elements that appear to make transfer possible in practice. They do not eliminate local adaptation, but they define the conditions under which the solution is more likely to function well.</w:t>
      </w:r>
    </w:p>
    <w:p w14:paraId="18270155" w14:textId="5871998C" w:rsidR="009809AC" w:rsidRPr="00565CF2" w:rsidRDefault="008123F2" w:rsidP="008123F2">
      <w:pPr>
        <w:pStyle w:val="Titolo4"/>
        <w:rPr>
          <w:lang w:val="en-GB"/>
        </w:rPr>
      </w:pPr>
      <w:r w:rsidRPr="00565CF2">
        <w:rPr>
          <w:lang w:val="en-GB"/>
        </w:rPr>
        <w:t>2.1 Common success factors</w:t>
      </w:r>
    </w:p>
    <w:tbl>
      <w:tblPr>
        <w:tblW w:w="5000" w:type="pct"/>
        <w:tblCellMar>
          <w:top w:w="15" w:type="dxa"/>
          <w:left w:w="15" w:type="dxa"/>
          <w:bottom w:w="15" w:type="dxa"/>
          <w:right w:w="15" w:type="dxa"/>
        </w:tblCellMar>
        <w:tblLook w:val="04A0" w:firstRow="1" w:lastRow="0" w:firstColumn="1" w:lastColumn="0" w:noHBand="0" w:noVBand="1"/>
      </w:tblPr>
      <w:tblGrid>
        <w:gridCol w:w="1543"/>
        <w:gridCol w:w="1918"/>
        <w:gridCol w:w="2084"/>
        <w:gridCol w:w="2152"/>
        <w:gridCol w:w="1183"/>
      </w:tblGrid>
      <w:tr w:rsidR="000A4330" w:rsidRPr="00565CF2" w14:paraId="18CCF340"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71F97A8B" w14:textId="77777777" w:rsidR="000A4330" w:rsidRPr="00565CF2" w:rsidRDefault="000A4330" w:rsidP="000A4330">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Success factor</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0ADF2D72" w14:textId="77777777" w:rsidR="000A4330" w:rsidRPr="00565CF2" w:rsidRDefault="000A4330" w:rsidP="000A4330">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WEEE BEHAVE</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2EDF2723" w14:textId="77777777" w:rsidR="000A4330" w:rsidRPr="00565CF2" w:rsidRDefault="000A4330" w:rsidP="000A4330">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0WEEE PROCURE</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41ED3073" w14:textId="77777777" w:rsidR="000A4330" w:rsidRPr="00565CF2" w:rsidRDefault="000A4330" w:rsidP="000A4330">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WEEE REUSE</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4368713C" w14:textId="77777777" w:rsidR="000A4330" w:rsidRPr="00565CF2" w:rsidRDefault="000A4330" w:rsidP="000A4330">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Transfer relevance</w:t>
            </w:r>
          </w:p>
        </w:tc>
      </w:tr>
      <w:tr w:rsidR="000A4330" w:rsidRPr="00565CF2" w14:paraId="7F172A47"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99C99AC"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Early stakeholder engagement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7C01088"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Schools, municipalities, and waste actors were engaged from the start.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E472252"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Public authorities and procurement actors required early alignment.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9FC99BB"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Reuse operators, social enterprises, and system owners needed early buy-in.</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AA24AAA"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Very high</w:t>
            </w:r>
          </w:p>
        </w:tc>
      </w:tr>
      <w:tr w:rsidR="000A4330" w:rsidRPr="00565CF2" w14:paraId="2284143C"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6BDF3C8"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Clear governance and role allocation</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03E2197"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Coordination between schools, municipalities, and waste actors was decisive.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A9B60D7"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Policy, technical, and operational roles had to be separated.</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5DF00C8"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Responsibilities between coordinators, social enterprises, and technical actors were essential.</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72DC8FB"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Very high</w:t>
            </w:r>
          </w:p>
        </w:tc>
      </w:tr>
      <w:tr w:rsidR="000A4330" w:rsidRPr="00565CF2" w14:paraId="0E60D998"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0090D7A"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Adaptation to local context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656C655"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Educational formats and logistics had to be adapted.</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A036985"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Legal and administrative adaptation was necessary.</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FF3E776"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Implementation mode depended on local capacity and ecosystem maturity.</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B037308"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Very high</w:t>
            </w:r>
          </w:p>
        </w:tc>
      </w:tr>
      <w:tr w:rsidR="000A4330" w:rsidRPr="00565CF2" w14:paraId="75E071F1"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4884DF9"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Use of existing structures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C24144F"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Schools and municipal structures reduced setup effort.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F2C0626"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Existing public systems and technical institutes supported implementation.</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6F4A56A"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Existing reuse centres and local networks improved feasibility.</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27AA388"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High</w:t>
            </w:r>
          </w:p>
        </w:tc>
      </w:tr>
      <w:tr w:rsidR="000A4330" w:rsidRPr="00565CF2" w14:paraId="2DF95FC8"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E802D14"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Continuous coordination and feedback</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64E1BC6"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Frequent coordination avoided delays.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D8C6E06"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Regular follow-up improved alignment.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F658FA7"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Ongoing feedback strengthened cooperation.</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644F1B4" w14:textId="77777777" w:rsidR="000A4330" w:rsidRPr="00565CF2" w:rsidRDefault="000A4330" w:rsidP="000A433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High</w:t>
            </w:r>
          </w:p>
        </w:tc>
      </w:tr>
    </w:tbl>
    <w:p w14:paraId="50D6BC63" w14:textId="77777777" w:rsidR="000A4330" w:rsidRPr="00565CF2" w:rsidRDefault="000A4330" w:rsidP="000A4330">
      <w:pPr>
        <w:rPr>
          <w:lang w:val="en-GB"/>
        </w:rPr>
      </w:pPr>
    </w:p>
    <w:p w14:paraId="6E9DB4CA" w14:textId="22CA4F84" w:rsidR="00252965" w:rsidRPr="00565CF2" w:rsidRDefault="00252965" w:rsidP="00252965">
      <w:pPr>
        <w:rPr>
          <w:lang w:val="en-GB"/>
        </w:rPr>
      </w:pPr>
      <w:r w:rsidRPr="00565CF2">
        <w:rPr>
          <w:lang w:val="en-GB"/>
        </w:rPr>
        <w:t>The table shows that the common factor is not a specific activity, but a way of working. In all three cases, the pilot became more effective when it was anchored in existing structures, supported by clear responsibilities, and adapted to the realities of the territory.</w:t>
      </w:r>
    </w:p>
    <w:p w14:paraId="332D9D5F" w14:textId="77777777" w:rsidR="00252965" w:rsidRPr="00565CF2" w:rsidRDefault="00252965" w:rsidP="00252965">
      <w:pPr>
        <w:pStyle w:val="Titolo4"/>
        <w:rPr>
          <w:lang w:val="en-GB"/>
        </w:rPr>
      </w:pPr>
      <w:r w:rsidRPr="00565CF2">
        <w:rPr>
          <w:lang w:val="en-GB"/>
        </w:rPr>
        <w:t>2.2 Practical meaning</w:t>
      </w:r>
    </w:p>
    <w:p w14:paraId="1E6CD5B9" w14:textId="77FB263E" w:rsidR="00252965" w:rsidRPr="00565CF2" w:rsidRDefault="00252965" w:rsidP="00252965">
      <w:pPr>
        <w:rPr>
          <w:lang w:val="en-GB"/>
        </w:rPr>
      </w:pPr>
      <w:r w:rsidRPr="00565CF2">
        <w:rPr>
          <w:lang w:val="en-GB"/>
        </w:rPr>
        <w:t xml:space="preserve">The practical implication is that transfer should begin with relationship-building and role definition, not with operational delivery. The pilot evidence suggests that projects are more </w:t>
      </w:r>
      <w:r w:rsidRPr="00565CF2">
        <w:rPr>
          <w:lang w:val="en-GB"/>
        </w:rPr>
        <w:lastRenderedPageBreak/>
        <w:t>resilient when they start with a stable partnership structure and then progressively move toward implementation.</w:t>
      </w:r>
    </w:p>
    <w:tbl>
      <w:tblPr>
        <w:tblW w:w="5000" w:type="pct"/>
        <w:tblCellMar>
          <w:top w:w="15" w:type="dxa"/>
          <w:left w:w="15" w:type="dxa"/>
          <w:bottom w:w="15" w:type="dxa"/>
          <w:right w:w="15" w:type="dxa"/>
        </w:tblCellMar>
        <w:tblLook w:val="04A0" w:firstRow="1" w:lastRow="0" w:firstColumn="1" w:lastColumn="0" w:noHBand="0" w:noVBand="1"/>
      </w:tblPr>
      <w:tblGrid>
        <w:gridCol w:w="1930"/>
        <w:gridCol w:w="3624"/>
        <w:gridCol w:w="3326"/>
      </w:tblGrid>
      <w:tr w:rsidR="0013290F" w:rsidRPr="00565CF2" w14:paraId="7093D827"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509EC848" w14:textId="77777777" w:rsidR="0013290F" w:rsidRPr="00565CF2" w:rsidRDefault="0013290F" w:rsidP="0013290F">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Pattern</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7676537C" w14:textId="77777777" w:rsidR="0013290F" w:rsidRPr="00565CF2" w:rsidRDefault="0013290F" w:rsidP="0013290F">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Meaning for transfer</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346DBA61" w14:textId="77777777" w:rsidR="0013290F" w:rsidRPr="00565CF2" w:rsidRDefault="0013290F" w:rsidP="0013290F">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Practical implication</w:t>
            </w:r>
          </w:p>
        </w:tc>
      </w:tr>
      <w:tr w:rsidR="0013290F" w:rsidRPr="00565CF2" w14:paraId="1EB8938B"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2D843DB" w14:textId="77777777" w:rsidR="0013290F" w:rsidRPr="00565CF2" w:rsidRDefault="0013290F" w:rsidP="0013290F">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Stakeholder alignment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DB013C7" w14:textId="77777777" w:rsidR="0013290F" w:rsidRPr="00565CF2" w:rsidRDefault="0013290F" w:rsidP="0013290F">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The solution is weaker if key actors are not ready.</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6F3B6CD" w14:textId="77777777" w:rsidR="0013290F" w:rsidRPr="00565CF2" w:rsidRDefault="0013290F" w:rsidP="0013290F">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Secure commitments early.</w:t>
            </w:r>
          </w:p>
        </w:tc>
      </w:tr>
      <w:tr w:rsidR="0013290F" w:rsidRPr="00565CF2" w14:paraId="44C96251"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A00F066" w14:textId="77777777" w:rsidR="0013290F" w:rsidRPr="00565CF2" w:rsidRDefault="0013290F" w:rsidP="0013290F">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Role clarity</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11335AD" w14:textId="77777777" w:rsidR="0013290F" w:rsidRPr="00565CF2" w:rsidRDefault="0013290F" w:rsidP="0013290F">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Multi-actor projects need formal but simple governance.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8FEDF4D" w14:textId="77777777" w:rsidR="0013290F" w:rsidRPr="00565CF2" w:rsidRDefault="0013290F" w:rsidP="0013290F">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Assign clear responsibilities.</w:t>
            </w:r>
          </w:p>
        </w:tc>
      </w:tr>
      <w:tr w:rsidR="0013290F" w:rsidRPr="00565CF2" w14:paraId="7E086377"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CCD9E74" w14:textId="77777777" w:rsidR="0013290F" w:rsidRPr="00565CF2" w:rsidRDefault="0013290F" w:rsidP="0013290F">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Adaptation</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744D0F5" w14:textId="77777777" w:rsidR="0013290F" w:rsidRPr="00565CF2" w:rsidRDefault="0013290F" w:rsidP="0013290F">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The model cannot be copied unchanged.</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6113AC5" w14:textId="77777777" w:rsidR="0013290F" w:rsidRPr="00565CF2" w:rsidRDefault="0013290F" w:rsidP="0013290F">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Build in a local adaptation phase.</w:t>
            </w:r>
          </w:p>
        </w:tc>
      </w:tr>
      <w:tr w:rsidR="0013290F" w:rsidRPr="00565CF2" w14:paraId="3AFD41F9"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2DCCC83" w14:textId="77777777" w:rsidR="0013290F" w:rsidRPr="00565CF2" w:rsidRDefault="0013290F" w:rsidP="0013290F">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Existing infrastructure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B9E6FDF" w14:textId="77777777" w:rsidR="0013290F" w:rsidRPr="00565CF2" w:rsidRDefault="0013290F" w:rsidP="0013290F">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Transfer is easier when built on what already exists.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8366CEA" w14:textId="77777777" w:rsidR="0013290F" w:rsidRPr="00565CF2" w:rsidRDefault="0013290F" w:rsidP="0013290F">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Use existing systems and networks.</w:t>
            </w:r>
          </w:p>
        </w:tc>
      </w:tr>
      <w:tr w:rsidR="0013290F" w:rsidRPr="00565CF2" w14:paraId="22B2E070"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0D8B5B1" w14:textId="77777777" w:rsidR="0013290F" w:rsidRPr="00565CF2" w:rsidRDefault="0013290F" w:rsidP="0013290F">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Feedback loops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4BEFEAC" w14:textId="77777777" w:rsidR="0013290F" w:rsidRPr="00565CF2" w:rsidRDefault="0013290F" w:rsidP="0013290F">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Problems are easier to solve when detected early.</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E3CEF3E" w14:textId="77777777" w:rsidR="0013290F" w:rsidRPr="00565CF2" w:rsidRDefault="0013290F" w:rsidP="0013290F">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Keep regular coordination and review moments.</w:t>
            </w:r>
          </w:p>
        </w:tc>
      </w:tr>
    </w:tbl>
    <w:p w14:paraId="41EBA6FC" w14:textId="77777777" w:rsidR="00252965" w:rsidRPr="00565CF2" w:rsidRDefault="00252965" w:rsidP="00252965">
      <w:pPr>
        <w:rPr>
          <w:lang w:val="en-GB"/>
        </w:rPr>
      </w:pPr>
    </w:p>
    <w:p w14:paraId="2E47EF3B" w14:textId="77777777" w:rsidR="00D06556" w:rsidRPr="00565CF2" w:rsidRDefault="00D06556" w:rsidP="00D06556">
      <w:pPr>
        <w:pStyle w:val="Titolo3"/>
        <w:rPr>
          <w:lang w:val="en-GB"/>
        </w:rPr>
      </w:pPr>
      <w:r w:rsidRPr="00565CF2">
        <w:rPr>
          <w:lang w:val="en-GB"/>
        </w:rPr>
        <w:t>3. Critical Mistakes and Correction Strategies</w:t>
      </w:r>
    </w:p>
    <w:p w14:paraId="6943F01B" w14:textId="46AE3663" w:rsidR="00D06556" w:rsidRPr="00565CF2" w:rsidRDefault="00D06556" w:rsidP="00D06556">
      <w:pPr>
        <w:rPr>
          <w:lang w:val="en-GB"/>
        </w:rPr>
      </w:pPr>
      <w:r w:rsidRPr="00565CF2">
        <w:rPr>
          <w:lang w:val="en-GB"/>
        </w:rPr>
        <w:t>The pilots also revealed a set of recurring mistakes. These are particularly valuable because they help future implementers avoid repeating the same problems. In most cases, the issue was not failure of the solution itself, but a mismatch between the solution logic and the local conditions of implementation.</w:t>
      </w:r>
    </w:p>
    <w:p w14:paraId="416B1B92" w14:textId="6E5F23E2" w:rsidR="00D06556" w:rsidRPr="00565CF2" w:rsidRDefault="00D06556" w:rsidP="00D06556">
      <w:pPr>
        <w:pStyle w:val="Titolo4"/>
        <w:rPr>
          <w:lang w:val="en-GB"/>
        </w:rPr>
      </w:pPr>
      <w:r w:rsidRPr="00565CF2">
        <w:rPr>
          <w:lang w:val="en-GB"/>
        </w:rPr>
        <w:t>3.1 Recurrent mistakes</w:t>
      </w:r>
    </w:p>
    <w:tbl>
      <w:tblPr>
        <w:tblW w:w="5000" w:type="pct"/>
        <w:tblCellMar>
          <w:top w:w="15" w:type="dxa"/>
          <w:left w:w="15" w:type="dxa"/>
          <w:bottom w:w="15" w:type="dxa"/>
          <w:right w:w="15" w:type="dxa"/>
        </w:tblCellMar>
        <w:tblLook w:val="04A0" w:firstRow="1" w:lastRow="0" w:firstColumn="1" w:lastColumn="0" w:noHBand="0" w:noVBand="1"/>
      </w:tblPr>
      <w:tblGrid>
        <w:gridCol w:w="1897"/>
        <w:gridCol w:w="1408"/>
        <w:gridCol w:w="2032"/>
        <w:gridCol w:w="1713"/>
        <w:gridCol w:w="1830"/>
      </w:tblGrid>
      <w:tr w:rsidR="00896605" w:rsidRPr="00565CF2" w14:paraId="5C972C50"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249F9D4B" w14:textId="77777777" w:rsidR="00896605" w:rsidRPr="00565CF2" w:rsidRDefault="00896605" w:rsidP="00896605">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Mistake</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1A62008B" w14:textId="77777777" w:rsidR="00896605" w:rsidRPr="00565CF2" w:rsidRDefault="00896605" w:rsidP="00896605">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Where it occurred</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3CBB941C" w14:textId="77777777" w:rsidR="00896605" w:rsidRPr="00565CF2" w:rsidRDefault="00896605" w:rsidP="00896605">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Main effect</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032DD82F" w14:textId="77777777" w:rsidR="00896605" w:rsidRPr="00565CF2" w:rsidRDefault="00896605" w:rsidP="00896605">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Correction strategy</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10CB26AB" w14:textId="77777777" w:rsidR="00896605" w:rsidRPr="00565CF2" w:rsidRDefault="00896605" w:rsidP="00896605">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Lesson for future implementers</w:t>
            </w:r>
          </w:p>
        </w:tc>
      </w:tr>
      <w:tr w:rsidR="00896605" w:rsidRPr="00565CF2" w14:paraId="7598328C"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E8BE0C4" w14:textId="77777777" w:rsidR="00896605" w:rsidRPr="00565CF2" w:rsidRDefault="00896605" w:rsidP="0089660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Overestimating legal flexibility</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73A81AA" w14:textId="77777777" w:rsidR="00896605" w:rsidRPr="00565CF2" w:rsidRDefault="00896605" w:rsidP="0089660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Especially in 0WEEE PROCURE and WEEE REUSE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A8D3505" w14:textId="77777777" w:rsidR="00896605" w:rsidRPr="00565CF2" w:rsidRDefault="00896605" w:rsidP="0089660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Some ideas were not administratively feasible.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637C7A1" w14:textId="77777777" w:rsidR="00896605" w:rsidRPr="00565CF2" w:rsidRDefault="00896605" w:rsidP="0089660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Early legal screening and redesign around actual rules.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4F2118E" w14:textId="77777777" w:rsidR="00896605" w:rsidRPr="00565CF2" w:rsidRDefault="00896605" w:rsidP="0089660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Start from compliance, not from the preferred model.</w:t>
            </w:r>
          </w:p>
        </w:tc>
      </w:tr>
      <w:tr w:rsidR="00896605" w:rsidRPr="00565CF2" w14:paraId="2EA3CFEF"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AD82D60" w14:textId="77777777" w:rsidR="00896605" w:rsidRPr="00565CF2" w:rsidRDefault="00896605" w:rsidP="0089660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Underestimating coordination effort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251BA22" w14:textId="77777777" w:rsidR="00896605" w:rsidRPr="00565CF2" w:rsidRDefault="00896605" w:rsidP="0089660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All three solutions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45E6061" w14:textId="77777777" w:rsidR="00896605" w:rsidRPr="00565CF2" w:rsidRDefault="00896605" w:rsidP="0089660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Delays in calendars, stakeholder engagement, and reporting.</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3A41B4C" w14:textId="77777777" w:rsidR="00896605" w:rsidRPr="00565CF2" w:rsidRDefault="00896605" w:rsidP="0089660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Assign explicit coordination time and ownership.</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9B7E39D" w14:textId="77777777" w:rsidR="00896605" w:rsidRPr="00565CF2" w:rsidRDefault="00896605" w:rsidP="0089660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Coordination is a core activity.</w:t>
            </w:r>
          </w:p>
        </w:tc>
      </w:tr>
      <w:tr w:rsidR="00896605" w:rsidRPr="00565CF2" w14:paraId="0A018CC0"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D6CCBC1" w14:textId="77777777" w:rsidR="00896605" w:rsidRPr="00565CF2" w:rsidRDefault="00896605" w:rsidP="0089660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Scaling too quickly</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1D19357" w14:textId="77777777" w:rsidR="00896605" w:rsidRPr="00565CF2" w:rsidRDefault="00896605" w:rsidP="0089660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Mainly WEEE BEHAVE and WEEE REUSE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00E3D7B" w14:textId="77777777" w:rsidR="00896605" w:rsidRPr="00565CF2" w:rsidRDefault="00896605" w:rsidP="0089660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The model expanded before it was stable.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D597F75" w14:textId="77777777" w:rsidR="00896605" w:rsidRPr="00565CF2" w:rsidRDefault="00896605" w:rsidP="0089660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Introduce a phased pilot-first approach.</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D7B9B4B" w14:textId="77777777" w:rsidR="00896605" w:rsidRPr="00565CF2" w:rsidRDefault="00896605" w:rsidP="0089660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Test small before scaling.</w:t>
            </w:r>
          </w:p>
        </w:tc>
      </w:tr>
      <w:tr w:rsidR="00896605" w:rsidRPr="00565CF2" w14:paraId="388F7300"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8816901" w14:textId="77777777" w:rsidR="00896605" w:rsidRPr="00565CF2" w:rsidRDefault="00896605" w:rsidP="0089660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lastRenderedPageBreak/>
              <w:t>Treating tools as self-sufficient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7A6419A" w14:textId="77777777" w:rsidR="00896605" w:rsidRPr="00565CF2" w:rsidRDefault="00896605" w:rsidP="0089660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All three solutions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02F7C8C" w14:textId="77777777" w:rsidR="00896605" w:rsidRPr="00565CF2" w:rsidRDefault="00896605" w:rsidP="0089660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Templates were useful, but not enough alone.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8C9EB44" w14:textId="77777777" w:rsidR="00896605" w:rsidRPr="00565CF2" w:rsidRDefault="00896605" w:rsidP="0089660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Combine tools with facilitation and leadership.</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5535278" w14:textId="77777777" w:rsidR="00896605" w:rsidRPr="00565CF2" w:rsidRDefault="00896605" w:rsidP="0089660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Tools support delivery; people make it work.</w:t>
            </w:r>
          </w:p>
        </w:tc>
      </w:tr>
    </w:tbl>
    <w:p w14:paraId="78533890" w14:textId="77777777" w:rsidR="00D06556" w:rsidRPr="00565CF2" w:rsidRDefault="00D06556" w:rsidP="00D06556">
      <w:pPr>
        <w:rPr>
          <w:lang w:val="en-GB"/>
        </w:rPr>
      </w:pPr>
    </w:p>
    <w:p w14:paraId="1900E045" w14:textId="6644CC40" w:rsidR="002C42CE" w:rsidRPr="00565CF2" w:rsidRDefault="002C42CE" w:rsidP="002C42CE">
      <w:pPr>
        <w:rPr>
          <w:lang w:val="en-GB"/>
        </w:rPr>
      </w:pPr>
      <w:r w:rsidRPr="00565CF2">
        <w:rPr>
          <w:lang w:val="en-GB"/>
        </w:rPr>
        <w:t>This table is important because it shows that many difficulties were solvable through better preparation and stronger management. Future territories can therefore reduce risk without needing to redesign the full solution architecture.</w:t>
      </w:r>
    </w:p>
    <w:p w14:paraId="51A885D1" w14:textId="77777777" w:rsidR="002C42CE" w:rsidRPr="00565CF2" w:rsidRDefault="002C42CE" w:rsidP="002C42CE">
      <w:pPr>
        <w:pStyle w:val="Titolo4"/>
        <w:rPr>
          <w:lang w:val="en-GB"/>
        </w:rPr>
      </w:pPr>
      <w:r w:rsidRPr="00565CF2">
        <w:rPr>
          <w:lang w:val="en-GB"/>
        </w:rPr>
        <w:t>3.2 What the corrections teach us</w:t>
      </w:r>
    </w:p>
    <w:p w14:paraId="713FB448" w14:textId="49227918" w:rsidR="00896605" w:rsidRPr="00565CF2" w:rsidRDefault="002C42CE" w:rsidP="002C42CE">
      <w:pPr>
        <w:rPr>
          <w:lang w:val="en-GB"/>
        </w:rPr>
      </w:pPr>
      <w:r w:rsidRPr="00565CF2">
        <w:rPr>
          <w:lang w:val="en-GB"/>
        </w:rPr>
        <w:t>The correction strategies followed a common logic: identify the mismatch early, simplify the intervention where needed, and re-anchor the solution in the local institutional environment.</w:t>
      </w:r>
    </w:p>
    <w:tbl>
      <w:tblPr>
        <w:tblW w:w="5000" w:type="pct"/>
        <w:tblCellMar>
          <w:top w:w="15" w:type="dxa"/>
          <w:left w:w="15" w:type="dxa"/>
          <w:bottom w:w="15" w:type="dxa"/>
          <w:right w:w="15" w:type="dxa"/>
        </w:tblCellMar>
        <w:tblLook w:val="04A0" w:firstRow="1" w:lastRow="0" w:firstColumn="1" w:lastColumn="0" w:noHBand="0" w:noVBand="1"/>
      </w:tblPr>
      <w:tblGrid>
        <w:gridCol w:w="2669"/>
        <w:gridCol w:w="3345"/>
        <w:gridCol w:w="2866"/>
      </w:tblGrid>
      <w:tr w:rsidR="002C42CE" w:rsidRPr="00565CF2" w14:paraId="07DBC890"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43011C4B" w14:textId="77777777" w:rsidR="002C42CE" w:rsidRPr="00565CF2" w:rsidRDefault="002C42CE" w:rsidP="002C42CE">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Problem type</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1CA74FD3" w14:textId="77777777" w:rsidR="002C42CE" w:rsidRPr="00565CF2" w:rsidRDefault="002C42CE" w:rsidP="002C42CE">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Correction logic</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59AE1EAD" w14:textId="77777777" w:rsidR="002C42CE" w:rsidRPr="00565CF2" w:rsidRDefault="002C42CE" w:rsidP="002C42CE">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Expected result</w:t>
            </w:r>
          </w:p>
        </w:tc>
      </w:tr>
      <w:tr w:rsidR="002C42CE" w:rsidRPr="00565CF2" w14:paraId="7CE00FA6"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5A9FD81" w14:textId="77777777" w:rsidR="002C42CE" w:rsidRPr="00565CF2" w:rsidRDefault="002C42CE" w:rsidP="002C42C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Regulatory mismatch</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56EF264" w14:textId="77777777" w:rsidR="002C42CE" w:rsidRPr="00565CF2" w:rsidRDefault="002C42CE" w:rsidP="002C42C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Redesign to fit the legal environment.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C55A677" w14:textId="77777777" w:rsidR="002C42CE" w:rsidRPr="00565CF2" w:rsidRDefault="002C42CE" w:rsidP="002C42C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Compliance and feasibility.</w:t>
            </w:r>
          </w:p>
        </w:tc>
      </w:tr>
      <w:tr w:rsidR="002C42CE" w:rsidRPr="00565CF2" w14:paraId="6AA785FF"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AC54D37" w14:textId="77777777" w:rsidR="002C42CE" w:rsidRPr="00565CF2" w:rsidRDefault="002C42CE" w:rsidP="002C42C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Operational overload</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E2FFED6" w14:textId="77777777" w:rsidR="002C42CE" w:rsidRPr="00565CF2" w:rsidRDefault="002C42CE" w:rsidP="002C42C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Reduce scope and clarify timing.</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2503900" w14:textId="77777777" w:rsidR="002C42CE" w:rsidRPr="00565CF2" w:rsidRDefault="002C42CE" w:rsidP="002C42C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Fewer delays and better delivery.</w:t>
            </w:r>
          </w:p>
        </w:tc>
      </w:tr>
      <w:tr w:rsidR="002C42CE" w:rsidRPr="00565CF2" w14:paraId="7DD527AE"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7CC6F0A" w14:textId="77777777" w:rsidR="002C42CE" w:rsidRPr="00565CF2" w:rsidRDefault="002C42CE" w:rsidP="002C42C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Weak stakeholder commitment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8CC9F96" w14:textId="77777777" w:rsidR="002C42CE" w:rsidRPr="00565CF2" w:rsidRDefault="002C42CE" w:rsidP="002C42C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Formalize roles and deepen engagement.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D1305E0" w14:textId="77777777" w:rsidR="002C42CE" w:rsidRPr="00565CF2" w:rsidRDefault="002C42CE" w:rsidP="002C42C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More stable implementation.</w:t>
            </w:r>
          </w:p>
        </w:tc>
      </w:tr>
      <w:tr w:rsidR="002C42CE" w:rsidRPr="00565CF2" w14:paraId="58E0F55D"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5603F16" w14:textId="77777777" w:rsidR="002C42CE" w:rsidRPr="00565CF2" w:rsidRDefault="002C42CE" w:rsidP="002C42C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Over-complex design</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8611905" w14:textId="77777777" w:rsidR="002C42CE" w:rsidRPr="00565CF2" w:rsidRDefault="002C42CE" w:rsidP="002C42C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Simplify and test in practice.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0098932" w14:textId="77777777" w:rsidR="002C42CE" w:rsidRPr="00565CF2" w:rsidRDefault="002C42CE" w:rsidP="002C42C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Better scalability.</w:t>
            </w:r>
          </w:p>
        </w:tc>
      </w:tr>
    </w:tbl>
    <w:p w14:paraId="26A1E14D" w14:textId="77777777" w:rsidR="002C42CE" w:rsidRPr="00565CF2" w:rsidRDefault="002C42CE" w:rsidP="002C42CE">
      <w:pPr>
        <w:rPr>
          <w:lang w:val="en-GB"/>
        </w:rPr>
      </w:pPr>
    </w:p>
    <w:p w14:paraId="665AD7AE" w14:textId="77777777" w:rsidR="00836402" w:rsidRPr="00565CF2" w:rsidRDefault="00836402" w:rsidP="00836402">
      <w:pPr>
        <w:pStyle w:val="Titolo3"/>
        <w:rPr>
          <w:lang w:val="en-GB"/>
        </w:rPr>
      </w:pPr>
      <w:r w:rsidRPr="00565CF2">
        <w:rPr>
          <w:lang w:val="en-GB"/>
        </w:rPr>
        <w:t>4. Solution-Specific Lessons Learned</w:t>
      </w:r>
    </w:p>
    <w:p w14:paraId="1B65333C" w14:textId="117D7227" w:rsidR="00836402" w:rsidRPr="00565CF2" w:rsidRDefault="00836402" w:rsidP="00836402">
      <w:pPr>
        <w:rPr>
          <w:lang w:val="en-GB"/>
        </w:rPr>
      </w:pPr>
      <w:r w:rsidRPr="00565CF2">
        <w:rPr>
          <w:lang w:val="en-GB"/>
        </w:rPr>
        <w:t>The cross-solution findings are useful, but each pilot also produced insights that are specific to its own logic. These nuances matter because they show what must remain stable and what can be adapted when the solution is transferred to a new territory.</w:t>
      </w:r>
    </w:p>
    <w:p w14:paraId="146B4BC2" w14:textId="77777777" w:rsidR="00836402" w:rsidRPr="00565CF2" w:rsidRDefault="00836402" w:rsidP="00836402">
      <w:pPr>
        <w:pStyle w:val="Titolo4"/>
        <w:rPr>
          <w:lang w:val="en-GB"/>
        </w:rPr>
      </w:pPr>
      <w:r w:rsidRPr="00565CF2">
        <w:rPr>
          <w:lang w:val="en-GB"/>
        </w:rPr>
        <w:t>4.1 WEEE BEHAVE</w:t>
      </w:r>
    </w:p>
    <w:p w14:paraId="72E68CD1" w14:textId="73460579" w:rsidR="002C42CE" w:rsidRPr="00565CF2" w:rsidRDefault="00836402" w:rsidP="00836402">
      <w:pPr>
        <w:rPr>
          <w:lang w:val="en-GB"/>
        </w:rPr>
      </w:pPr>
      <w:r w:rsidRPr="00565CF2">
        <w:rPr>
          <w:lang w:val="en-GB"/>
        </w:rPr>
        <w:t xml:space="preserve">WEEE BEHAVE works best as a school-based </w:t>
      </w:r>
      <w:proofErr w:type="spellStart"/>
      <w:r w:rsidRPr="00565CF2">
        <w:rPr>
          <w:lang w:val="en-GB"/>
        </w:rPr>
        <w:t>behavior</w:t>
      </w:r>
      <w:proofErr w:type="spellEnd"/>
      <w:r w:rsidRPr="00565CF2">
        <w:rPr>
          <w:lang w:val="en-GB"/>
        </w:rPr>
        <w:t xml:space="preserve"> change model. Its strength lies in the combination of education, visibility, and participation. The pilot suggests that pupils can become powerful multipliers, especially when school activities are interactive and linked to real disposal opportunities.</w:t>
      </w:r>
    </w:p>
    <w:tbl>
      <w:tblPr>
        <w:tblW w:w="5000" w:type="pct"/>
        <w:tblCellMar>
          <w:top w:w="15" w:type="dxa"/>
          <w:left w:w="15" w:type="dxa"/>
          <w:bottom w:w="15" w:type="dxa"/>
          <w:right w:w="15" w:type="dxa"/>
        </w:tblCellMar>
        <w:tblLook w:val="04A0" w:firstRow="1" w:lastRow="0" w:firstColumn="1" w:lastColumn="0" w:noHBand="0" w:noVBand="1"/>
      </w:tblPr>
      <w:tblGrid>
        <w:gridCol w:w="2438"/>
        <w:gridCol w:w="3576"/>
        <w:gridCol w:w="2866"/>
      </w:tblGrid>
      <w:tr w:rsidR="009627CB" w:rsidRPr="00565CF2" w14:paraId="4E20D6B5"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43550B12" w14:textId="77777777" w:rsidR="009627CB" w:rsidRPr="00565CF2" w:rsidRDefault="009627CB" w:rsidP="009627CB">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Lesson</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30968B9B" w14:textId="77777777" w:rsidR="009627CB" w:rsidRPr="00565CF2" w:rsidRDefault="009627CB" w:rsidP="009627CB">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Evidence from the pilot</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1A767986" w14:textId="77777777" w:rsidR="009627CB" w:rsidRPr="00565CF2" w:rsidRDefault="009627CB" w:rsidP="009627CB">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Transfer implication</w:t>
            </w:r>
          </w:p>
        </w:tc>
      </w:tr>
      <w:tr w:rsidR="009627CB" w:rsidRPr="00565CF2" w14:paraId="6268B52E"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CD9AD1A" w14:textId="77777777" w:rsidR="009627CB" w:rsidRPr="00565CF2" w:rsidRDefault="009627CB" w:rsidP="009627CB">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 xml:space="preserve">Interactive educational </w:t>
            </w:r>
            <w:r w:rsidRPr="00565CF2">
              <w:rPr>
                <w:rFonts w:asciiTheme="majorHAnsi" w:eastAsia="Times New Roman" w:hAnsiTheme="majorHAnsi" w:cstheme="majorHAnsi"/>
                <w:lang w:val="en-GB" w:eastAsia="it-IT"/>
              </w:rPr>
              <w:lastRenderedPageBreak/>
              <w:t>design works best.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5D2A600" w14:textId="77777777" w:rsidR="009627CB" w:rsidRPr="00565CF2" w:rsidRDefault="009627CB" w:rsidP="009627CB">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lastRenderedPageBreak/>
              <w:t xml:space="preserve">Children and teachers were more </w:t>
            </w:r>
            <w:r w:rsidRPr="00565CF2">
              <w:rPr>
                <w:rFonts w:asciiTheme="majorHAnsi" w:eastAsia="Times New Roman" w:hAnsiTheme="majorHAnsi" w:cstheme="majorHAnsi"/>
                <w:lang w:val="en-GB" w:eastAsia="it-IT"/>
              </w:rPr>
              <w:lastRenderedPageBreak/>
              <w:t>engaged when activities were practical and visible.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D370287" w14:textId="77777777" w:rsidR="009627CB" w:rsidRPr="00565CF2" w:rsidRDefault="009627CB" w:rsidP="009627CB">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lastRenderedPageBreak/>
              <w:t xml:space="preserve">Use games, competitions, </w:t>
            </w:r>
            <w:r w:rsidRPr="00565CF2">
              <w:rPr>
                <w:rFonts w:asciiTheme="majorHAnsi" w:eastAsia="Times New Roman" w:hAnsiTheme="majorHAnsi" w:cstheme="majorHAnsi"/>
                <w:lang w:val="en-GB" w:eastAsia="it-IT"/>
              </w:rPr>
              <w:lastRenderedPageBreak/>
              <w:t>and hands-on school activities.</w:t>
            </w:r>
          </w:p>
        </w:tc>
      </w:tr>
      <w:tr w:rsidR="009627CB" w:rsidRPr="00565CF2" w14:paraId="3EE193B7"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5FB9221" w14:textId="77777777" w:rsidR="009627CB" w:rsidRPr="00565CF2" w:rsidRDefault="009627CB" w:rsidP="009627CB">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lastRenderedPageBreak/>
              <w:t>Awareness should be linked to disposal routes.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F21F5D1" w14:textId="77777777" w:rsidR="009627CB" w:rsidRPr="00565CF2" w:rsidRDefault="009627CB" w:rsidP="009627CB">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Campaigns were stronger when they connected education with collection.</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4E06077" w14:textId="77777777" w:rsidR="009627CB" w:rsidRPr="00565CF2" w:rsidRDefault="009627CB" w:rsidP="009627CB">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Do not separate awareness from logistics.</w:t>
            </w:r>
          </w:p>
        </w:tc>
      </w:tr>
      <w:tr w:rsidR="009627CB" w:rsidRPr="00565CF2" w14:paraId="6D416324"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EECAF31" w14:textId="77777777" w:rsidR="009627CB" w:rsidRPr="00565CF2" w:rsidRDefault="009627CB" w:rsidP="009627CB">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Municipal cooperation increases reach.</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909D13B" w14:textId="77777777" w:rsidR="009627CB" w:rsidRPr="00565CF2" w:rsidRDefault="009627CB" w:rsidP="009627CB">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 xml:space="preserve">Local authority </w:t>
            </w:r>
            <w:proofErr w:type="gramStart"/>
            <w:r w:rsidRPr="00565CF2">
              <w:rPr>
                <w:rFonts w:asciiTheme="majorHAnsi" w:eastAsia="Times New Roman" w:hAnsiTheme="majorHAnsi" w:cstheme="majorHAnsi"/>
                <w:lang w:val="en-GB" w:eastAsia="it-IT"/>
              </w:rPr>
              <w:t>support</w:t>
            </w:r>
            <w:proofErr w:type="gramEnd"/>
            <w:r w:rsidRPr="00565CF2">
              <w:rPr>
                <w:rFonts w:asciiTheme="majorHAnsi" w:eastAsia="Times New Roman" w:hAnsiTheme="majorHAnsi" w:cstheme="majorHAnsi"/>
                <w:lang w:val="en-GB" w:eastAsia="it-IT"/>
              </w:rPr>
              <w:t xml:space="preserve"> improved legitimacy and continuity.</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8AC8399" w14:textId="77777777" w:rsidR="009627CB" w:rsidRPr="00565CF2" w:rsidRDefault="009627CB" w:rsidP="009627CB">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Include municipalities in the core partnership.</w:t>
            </w:r>
          </w:p>
        </w:tc>
      </w:tr>
    </w:tbl>
    <w:p w14:paraId="5EB0E2A1" w14:textId="77777777" w:rsidR="00836402" w:rsidRPr="00565CF2" w:rsidRDefault="00836402" w:rsidP="00836402">
      <w:pPr>
        <w:rPr>
          <w:lang w:val="en-GB"/>
        </w:rPr>
      </w:pPr>
    </w:p>
    <w:p w14:paraId="32EA7981" w14:textId="77777777" w:rsidR="00780350" w:rsidRPr="00565CF2" w:rsidRDefault="00780350" w:rsidP="00780350">
      <w:pPr>
        <w:pStyle w:val="Titolo4"/>
        <w:rPr>
          <w:lang w:val="en-GB"/>
        </w:rPr>
      </w:pPr>
      <w:r w:rsidRPr="00565CF2">
        <w:rPr>
          <w:lang w:val="en-GB"/>
        </w:rPr>
        <w:t>4.2 0WEEE PROCURE</w:t>
      </w:r>
    </w:p>
    <w:p w14:paraId="16116106" w14:textId="684411FA" w:rsidR="009627CB" w:rsidRPr="00565CF2" w:rsidRDefault="00780350" w:rsidP="00780350">
      <w:pPr>
        <w:rPr>
          <w:lang w:val="en-GB"/>
        </w:rPr>
      </w:pPr>
      <w:r w:rsidRPr="00565CF2">
        <w:rPr>
          <w:lang w:val="en-GB"/>
        </w:rPr>
        <w:t>0WEEE PROCURE is a governance and compliance solution. Its main lesson is that circular procurement only works when legal feasibility is addressed from the outset and when the different institutional roles are clearly separated.</w:t>
      </w:r>
    </w:p>
    <w:tbl>
      <w:tblPr>
        <w:tblW w:w="5000" w:type="pct"/>
        <w:tblCellMar>
          <w:top w:w="15" w:type="dxa"/>
          <w:left w:w="15" w:type="dxa"/>
          <w:bottom w:w="15" w:type="dxa"/>
          <w:right w:w="15" w:type="dxa"/>
        </w:tblCellMar>
        <w:tblLook w:val="04A0" w:firstRow="1" w:lastRow="0" w:firstColumn="1" w:lastColumn="0" w:noHBand="0" w:noVBand="1"/>
      </w:tblPr>
      <w:tblGrid>
        <w:gridCol w:w="2754"/>
        <w:gridCol w:w="3504"/>
        <w:gridCol w:w="2622"/>
      </w:tblGrid>
      <w:tr w:rsidR="00780350" w:rsidRPr="00565CF2" w14:paraId="2EDF381E"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183A259D" w14:textId="77777777" w:rsidR="00780350" w:rsidRPr="00565CF2" w:rsidRDefault="00780350" w:rsidP="00780350">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Lesson</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09C1C54A" w14:textId="77777777" w:rsidR="00780350" w:rsidRPr="00565CF2" w:rsidRDefault="00780350" w:rsidP="00780350">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Evidence from the pilot</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69BA65C5" w14:textId="77777777" w:rsidR="00780350" w:rsidRPr="00565CF2" w:rsidRDefault="00780350" w:rsidP="00780350">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Transfer implication</w:t>
            </w:r>
          </w:p>
        </w:tc>
      </w:tr>
      <w:tr w:rsidR="00780350" w:rsidRPr="00565CF2" w14:paraId="5E086D2C"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478B2E9" w14:textId="77777777" w:rsidR="00780350" w:rsidRPr="00565CF2" w:rsidRDefault="00780350" w:rsidP="0078035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Procurement innovation must fit legal reality.</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5747094" w14:textId="77777777" w:rsidR="00780350" w:rsidRPr="00565CF2" w:rsidRDefault="00780350" w:rsidP="0078035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The model had to be adapted to national procurement conditions.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F0FD919" w14:textId="77777777" w:rsidR="00780350" w:rsidRPr="00565CF2" w:rsidRDefault="00780350" w:rsidP="0078035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Build the solution around compliance.</w:t>
            </w:r>
          </w:p>
        </w:tc>
      </w:tr>
      <w:tr w:rsidR="00780350" w:rsidRPr="00565CF2" w14:paraId="5AA796AE"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45109B4" w14:textId="77777777" w:rsidR="00780350" w:rsidRPr="00565CF2" w:rsidRDefault="00780350" w:rsidP="0078035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Roles must be clearly divided.</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3EDF444" w14:textId="77777777" w:rsidR="00780350" w:rsidRPr="00565CF2" w:rsidRDefault="00780350" w:rsidP="0078035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Separation of policy, technical, and operational tasks reduced confusion.</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AC09F2E" w14:textId="77777777" w:rsidR="00780350" w:rsidRPr="00565CF2" w:rsidRDefault="00780350" w:rsidP="0078035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Define governance before implementation.</w:t>
            </w:r>
          </w:p>
        </w:tc>
      </w:tr>
      <w:tr w:rsidR="00780350" w:rsidRPr="00565CF2" w14:paraId="05820BDF"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A4C6B6C" w14:textId="77777777" w:rsidR="00780350" w:rsidRPr="00565CF2" w:rsidRDefault="00780350" w:rsidP="0078035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Technical schools and digital tools can help adoption.</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0C202C0" w14:textId="77777777" w:rsidR="00780350" w:rsidRPr="00565CF2" w:rsidRDefault="00780350" w:rsidP="0078035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Supporting structures made the model easier to operationalize.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DF04488" w14:textId="77777777" w:rsidR="00780350" w:rsidRPr="00565CF2" w:rsidRDefault="00780350" w:rsidP="00780350">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Use existing enabling structures.</w:t>
            </w:r>
          </w:p>
        </w:tc>
      </w:tr>
    </w:tbl>
    <w:p w14:paraId="28B6C55E" w14:textId="77777777" w:rsidR="00780350" w:rsidRPr="00565CF2" w:rsidRDefault="00780350" w:rsidP="00780350">
      <w:pPr>
        <w:rPr>
          <w:lang w:val="en-GB"/>
        </w:rPr>
      </w:pPr>
    </w:p>
    <w:p w14:paraId="0F52C4F1" w14:textId="77777777" w:rsidR="007635B5" w:rsidRPr="00565CF2" w:rsidRDefault="007635B5" w:rsidP="007635B5">
      <w:pPr>
        <w:pStyle w:val="Titolo4"/>
        <w:rPr>
          <w:lang w:val="en-GB"/>
        </w:rPr>
      </w:pPr>
      <w:r w:rsidRPr="00565CF2">
        <w:rPr>
          <w:lang w:val="en-GB"/>
        </w:rPr>
        <w:t>4.3 WEEE REUSE</w:t>
      </w:r>
    </w:p>
    <w:p w14:paraId="6885967C" w14:textId="755A1668" w:rsidR="00780350" w:rsidRPr="00565CF2" w:rsidRDefault="007635B5" w:rsidP="007635B5">
      <w:pPr>
        <w:rPr>
          <w:lang w:val="en-GB"/>
        </w:rPr>
      </w:pPr>
      <w:r w:rsidRPr="00565CF2">
        <w:rPr>
          <w:lang w:val="en-GB"/>
        </w:rPr>
        <w:t>WEEE REUSE combines reuse with social inclusion and local economic value. The pilot showed that this model can be powerful, but it depends heavily on practical mentoring, existing infrastructure, and a simple operational design.</w:t>
      </w:r>
    </w:p>
    <w:tbl>
      <w:tblPr>
        <w:tblW w:w="5000" w:type="pct"/>
        <w:tblCellMar>
          <w:top w:w="15" w:type="dxa"/>
          <w:left w:w="15" w:type="dxa"/>
          <w:bottom w:w="15" w:type="dxa"/>
          <w:right w:w="15" w:type="dxa"/>
        </w:tblCellMar>
        <w:tblLook w:val="04A0" w:firstRow="1" w:lastRow="0" w:firstColumn="1" w:lastColumn="0" w:noHBand="0" w:noVBand="1"/>
      </w:tblPr>
      <w:tblGrid>
        <w:gridCol w:w="2618"/>
        <w:gridCol w:w="3702"/>
        <w:gridCol w:w="2560"/>
      </w:tblGrid>
      <w:tr w:rsidR="007635B5" w:rsidRPr="00565CF2" w14:paraId="2B3C9AD5"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61EF5C4E" w14:textId="77777777" w:rsidR="007635B5" w:rsidRPr="00565CF2" w:rsidRDefault="007635B5" w:rsidP="007635B5">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Lesson</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36B4F92C" w14:textId="77777777" w:rsidR="007635B5" w:rsidRPr="00565CF2" w:rsidRDefault="007635B5" w:rsidP="007635B5">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Evidence from the pilot</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57C7E8D8" w14:textId="77777777" w:rsidR="007635B5" w:rsidRPr="00565CF2" w:rsidRDefault="007635B5" w:rsidP="007635B5">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Transfer implication</w:t>
            </w:r>
          </w:p>
        </w:tc>
      </w:tr>
      <w:tr w:rsidR="007635B5" w:rsidRPr="00565CF2" w14:paraId="0822A8D2"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F0CBA97" w14:textId="77777777" w:rsidR="007635B5" w:rsidRPr="00565CF2" w:rsidRDefault="007635B5" w:rsidP="007635B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Reuse is stronger when linked to social inclusion.</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65F0B32" w14:textId="77777777" w:rsidR="007635B5" w:rsidRPr="00565CF2" w:rsidRDefault="007635B5" w:rsidP="007635B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Jobs for vulnerable groups were part of the value proposition.</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73D5CEB" w14:textId="77777777" w:rsidR="007635B5" w:rsidRPr="00565CF2" w:rsidRDefault="007635B5" w:rsidP="007635B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Integrate social value from the start.</w:t>
            </w:r>
          </w:p>
        </w:tc>
      </w:tr>
      <w:tr w:rsidR="007635B5" w:rsidRPr="00565CF2" w14:paraId="0B9332BF"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4B34719" w14:textId="77777777" w:rsidR="007635B5" w:rsidRPr="00565CF2" w:rsidRDefault="007635B5" w:rsidP="007635B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Simpler processes are often more scalable.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CBB5682" w14:textId="77777777" w:rsidR="007635B5" w:rsidRPr="00565CF2" w:rsidRDefault="007635B5" w:rsidP="007635B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Lower-risk methods worked better than highly technical refurbishment.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9F29D8F" w14:textId="77777777" w:rsidR="007635B5" w:rsidRPr="00565CF2" w:rsidRDefault="007635B5" w:rsidP="007635B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Prefer robustness over complexity.</w:t>
            </w:r>
          </w:p>
        </w:tc>
      </w:tr>
      <w:tr w:rsidR="007635B5" w:rsidRPr="00565CF2" w14:paraId="65692EA5"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90E7AEB" w14:textId="77777777" w:rsidR="007635B5" w:rsidRPr="00565CF2" w:rsidRDefault="007635B5" w:rsidP="007635B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lastRenderedPageBreak/>
              <w:t>Mentoring and support are essential.</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B8E3F52" w14:textId="77777777" w:rsidR="007635B5" w:rsidRPr="00565CF2" w:rsidRDefault="007635B5" w:rsidP="007635B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Continuous guidance improved participation and continuity.</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B1FFE3D" w14:textId="77777777" w:rsidR="007635B5" w:rsidRPr="00565CF2" w:rsidRDefault="007635B5" w:rsidP="007635B5">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Budget for ongoing support, not only training.</w:t>
            </w:r>
          </w:p>
        </w:tc>
      </w:tr>
    </w:tbl>
    <w:p w14:paraId="7D3F9B6C" w14:textId="77777777" w:rsidR="0046315A" w:rsidRPr="00565CF2" w:rsidRDefault="0046315A" w:rsidP="0046315A">
      <w:pPr>
        <w:pStyle w:val="Titolo3"/>
        <w:rPr>
          <w:lang w:val="en-GB"/>
        </w:rPr>
      </w:pPr>
      <w:r w:rsidRPr="00565CF2">
        <w:rPr>
          <w:lang w:val="en-GB"/>
        </w:rPr>
        <w:t>5. Governance and Coordination Models</w:t>
      </w:r>
    </w:p>
    <w:p w14:paraId="3B33DEE2" w14:textId="3F5B3B0B" w:rsidR="0046315A" w:rsidRPr="00565CF2" w:rsidRDefault="0046315A" w:rsidP="0046315A">
      <w:pPr>
        <w:rPr>
          <w:lang w:val="en-GB"/>
        </w:rPr>
      </w:pPr>
      <w:r w:rsidRPr="00565CF2">
        <w:rPr>
          <w:lang w:val="en-GB"/>
        </w:rPr>
        <w:t>One of the clearest lessons from the pilots is that governance matters as much as content. A good solution can still underperform if the coordination structure is weak. The evidence suggests that the most effective models are those that remain light enough to manage, but formal enough to ensure accountability.</w:t>
      </w:r>
    </w:p>
    <w:p w14:paraId="42A6EC31" w14:textId="4FFA595F" w:rsidR="007635B5" w:rsidRPr="00565CF2" w:rsidRDefault="0046315A" w:rsidP="0046315A">
      <w:pPr>
        <w:pStyle w:val="Titolo4"/>
        <w:rPr>
          <w:lang w:val="en-GB"/>
        </w:rPr>
      </w:pPr>
      <w:r w:rsidRPr="00565CF2">
        <w:rPr>
          <w:lang w:val="en-GB"/>
        </w:rPr>
        <w:t>5.1 Governance model comparison</w:t>
      </w:r>
    </w:p>
    <w:tbl>
      <w:tblPr>
        <w:tblW w:w="5000" w:type="pct"/>
        <w:tblCellMar>
          <w:top w:w="15" w:type="dxa"/>
          <w:left w:w="15" w:type="dxa"/>
          <w:bottom w:w="15" w:type="dxa"/>
          <w:right w:w="15" w:type="dxa"/>
        </w:tblCellMar>
        <w:tblLook w:val="04A0" w:firstRow="1" w:lastRow="0" w:firstColumn="1" w:lastColumn="0" w:noHBand="0" w:noVBand="1"/>
      </w:tblPr>
      <w:tblGrid>
        <w:gridCol w:w="1599"/>
        <w:gridCol w:w="2007"/>
        <w:gridCol w:w="1793"/>
        <w:gridCol w:w="1812"/>
        <w:gridCol w:w="1669"/>
      </w:tblGrid>
      <w:tr w:rsidR="00992D5E" w:rsidRPr="00565CF2" w14:paraId="79F4717A"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08AF976E" w14:textId="77777777" w:rsidR="00992D5E" w:rsidRPr="00565CF2" w:rsidRDefault="00992D5E" w:rsidP="00992D5E">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Governance model</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5350F9A7" w14:textId="77777777" w:rsidR="00992D5E" w:rsidRPr="00565CF2" w:rsidRDefault="00992D5E" w:rsidP="00992D5E">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Main features</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64865954" w14:textId="77777777" w:rsidR="00992D5E" w:rsidRPr="00565CF2" w:rsidRDefault="00992D5E" w:rsidP="00992D5E">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Strengths</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111DC74E" w14:textId="77777777" w:rsidR="00992D5E" w:rsidRPr="00565CF2" w:rsidRDefault="00992D5E" w:rsidP="00992D5E">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Limitations</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3E73C25E" w14:textId="77777777" w:rsidR="00992D5E" w:rsidRPr="00565CF2" w:rsidRDefault="00992D5E" w:rsidP="00992D5E">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Best suited for</w:t>
            </w:r>
          </w:p>
        </w:tc>
      </w:tr>
      <w:tr w:rsidR="00992D5E" w:rsidRPr="00565CF2" w14:paraId="6B5B0165"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1B253A7" w14:textId="77777777" w:rsidR="00992D5E" w:rsidRPr="00565CF2" w:rsidRDefault="00992D5E" w:rsidP="00992D5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Light coordination model</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13FEA96" w14:textId="77777777" w:rsidR="00992D5E" w:rsidRPr="00565CF2" w:rsidRDefault="00992D5E" w:rsidP="00992D5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 xml:space="preserve">One coordinator plus local contact </w:t>
            </w:r>
            <w:proofErr w:type="gramStart"/>
            <w:r w:rsidRPr="00565CF2">
              <w:rPr>
                <w:rFonts w:asciiTheme="majorHAnsi" w:eastAsia="Times New Roman" w:hAnsiTheme="majorHAnsi" w:cstheme="majorHAnsi"/>
                <w:lang w:val="en-GB" w:eastAsia="it-IT"/>
              </w:rPr>
              <w:t>points</w:t>
            </w:r>
            <w:proofErr w:type="gramEnd"/>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C1749D2" w14:textId="77777777" w:rsidR="00992D5E" w:rsidRPr="00565CF2" w:rsidRDefault="00992D5E" w:rsidP="00992D5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Flexible and low burden</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477C227" w14:textId="77777777" w:rsidR="00992D5E" w:rsidRPr="00565CF2" w:rsidRDefault="00992D5E" w:rsidP="00992D5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Can fail if roles are not clear enough</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16002DF" w14:textId="77777777" w:rsidR="00992D5E" w:rsidRPr="00565CF2" w:rsidRDefault="00992D5E" w:rsidP="00992D5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Small to medium pilots</w:t>
            </w:r>
          </w:p>
        </w:tc>
      </w:tr>
      <w:tr w:rsidR="00992D5E" w:rsidRPr="00565CF2" w14:paraId="0ECA90CA"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D517E79" w14:textId="77777777" w:rsidR="00992D5E" w:rsidRPr="00565CF2" w:rsidRDefault="00992D5E" w:rsidP="00992D5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Structured multi-actor model</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A6DA852" w14:textId="77777777" w:rsidR="00992D5E" w:rsidRPr="00565CF2" w:rsidRDefault="00992D5E" w:rsidP="00992D5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Steering committee plus operational roles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BDF2CC1" w14:textId="77777777" w:rsidR="00992D5E" w:rsidRPr="00565CF2" w:rsidRDefault="00992D5E" w:rsidP="00992D5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Strong accountability and ownership</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BC4AF38" w14:textId="77777777" w:rsidR="00992D5E" w:rsidRPr="00565CF2" w:rsidRDefault="00992D5E" w:rsidP="00992D5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Requires more coordination effort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382DFA5" w14:textId="77777777" w:rsidR="00992D5E" w:rsidRPr="00565CF2" w:rsidRDefault="00992D5E" w:rsidP="00992D5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Cross-sector solutions</w:t>
            </w:r>
          </w:p>
        </w:tc>
      </w:tr>
      <w:tr w:rsidR="00992D5E" w:rsidRPr="00565CF2" w14:paraId="778A356B"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C2152AD" w14:textId="77777777" w:rsidR="00992D5E" w:rsidRPr="00565CF2" w:rsidRDefault="00992D5E" w:rsidP="00992D5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Municipal-led model</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56D80A6" w14:textId="77777777" w:rsidR="00992D5E" w:rsidRPr="00565CF2" w:rsidRDefault="00992D5E" w:rsidP="00992D5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Municipality or municipal union leads the process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4ED5D4A" w14:textId="77777777" w:rsidR="00992D5E" w:rsidRPr="00565CF2" w:rsidRDefault="00992D5E" w:rsidP="00992D5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Strong legitimacy and continuity</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1209276" w14:textId="77777777" w:rsidR="00992D5E" w:rsidRPr="00565CF2" w:rsidRDefault="00992D5E" w:rsidP="00992D5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Depends on administrative capacity</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99F83A4" w14:textId="77777777" w:rsidR="00992D5E" w:rsidRPr="00565CF2" w:rsidRDefault="00992D5E" w:rsidP="00992D5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School and awareness-based actions</w:t>
            </w:r>
          </w:p>
        </w:tc>
      </w:tr>
      <w:tr w:rsidR="00992D5E" w:rsidRPr="00565CF2" w14:paraId="49857CEA"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C303A0B" w14:textId="77777777" w:rsidR="00992D5E" w:rsidRPr="00565CF2" w:rsidRDefault="00992D5E" w:rsidP="00992D5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Network-based model</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12F6853" w14:textId="77777777" w:rsidR="00992D5E" w:rsidRPr="00565CF2" w:rsidRDefault="00992D5E" w:rsidP="00992D5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NGOs, operators, schools, and local bodies cooperate regularly</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2C21811" w14:textId="77777777" w:rsidR="00992D5E" w:rsidRPr="00565CF2" w:rsidRDefault="00992D5E" w:rsidP="00992D5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Adaptable and locally rooted</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B21E478" w14:textId="77777777" w:rsidR="00992D5E" w:rsidRPr="00565CF2" w:rsidRDefault="00992D5E" w:rsidP="00992D5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Risk of fragmentation</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E46B474" w14:textId="77777777" w:rsidR="00992D5E" w:rsidRPr="00565CF2" w:rsidRDefault="00992D5E" w:rsidP="00992D5E">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Reuse and community-based solutions</w:t>
            </w:r>
          </w:p>
        </w:tc>
      </w:tr>
    </w:tbl>
    <w:p w14:paraId="495B4A46" w14:textId="77777777" w:rsidR="00992D5E" w:rsidRPr="00565CF2" w:rsidRDefault="00992D5E" w:rsidP="0046315A">
      <w:pPr>
        <w:rPr>
          <w:lang w:val="en-GB"/>
        </w:rPr>
      </w:pPr>
    </w:p>
    <w:p w14:paraId="23E33EDB" w14:textId="761E2F7B" w:rsidR="00A76370" w:rsidRPr="00565CF2" w:rsidRDefault="00A76370" w:rsidP="00A76370">
      <w:pPr>
        <w:rPr>
          <w:lang w:val="en-GB"/>
        </w:rPr>
      </w:pPr>
      <w:r w:rsidRPr="00565CF2">
        <w:rPr>
          <w:lang w:val="en-GB"/>
        </w:rPr>
        <w:t>The table shows that no single model is universally best. Instead, the best governance structure is the one that matches the solution’s logic and the territorial context. A school campaign needs legitimacy and communication flow; a procurement model needs formal decision-making; a reuse model needs flexible cooperation across actors.</w:t>
      </w:r>
    </w:p>
    <w:p w14:paraId="555FDC26" w14:textId="5FEF1F1D" w:rsidR="00992D5E" w:rsidRPr="00565CF2" w:rsidRDefault="00A76370" w:rsidP="00A76370">
      <w:pPr>
        <w:pStyle w:val="Titolo4"/>
        <w:rPr>
          <w:lang w:val="en-GB"/>
        </w:rPr>
      </w:pPr>
      <w:r w:rsidRPr="00565CF2">
        <w:rPr>
          <w:lang w:val="en-GB"/>
        </w:rPr>
        <w:t>5.2 Governance lessons</w:t>
      </w:r>
    </w:p>
    <w:tbl>
      <w:tblPr>
        <w:tblW w:w="5000" w:type="pct"/>
        <w:tblCellMar>
          <w:top w:w="15" w:type="dxa"/>
          <w:left w:w="15" w:type="dxa"/>
          <w:bottom w:w="15" w:type="dxa"/>
          <w:right w:w="15" w:type="dxa"/>
        </w:tblCellMar>
        <w:tblLook w:val="04A0" w:firstRow="1" w:lastRow="0" w:firstColumn="1" w:lastColumn="0" w:noHBand="0" w:noVBand="1"/>
      </w:tblPr>
      <w:tblGrid>
        <w:gridCol w:w="1800"/>
        <w:gridCol w:w="4314"/>
        <w:gridCol w:w="2766"/>
      </w:tblGrid>
      <w:tr w:rsidR="00AC3DCD" w:rsidRPr="00565CF2" w14:paraId="50E8A2A6"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26FFD8C8" w14:textId="77777777" w:rsidR="00AC3DCD" w:rsidRPr="00565CF2" w:rsidRDefault="00AC3DCD" w:rsidP="00AC3DCD">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Lesson</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402C2781" w14:textId="77777777" w:rsidR="00AC3DCD" w:rsidRPr="00565CF2" w:rsidRDefault="00AC3DCD" w:rsidP="00AC3DCD">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What worked</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78F45833" w14:textId="77777777" w:rsidR="00AC3DCD" w:rsidRPr="00565CF2" w:rsidRDefault="00AC3DCD" w:rsidP="00AC3DCD">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What to replicate</w:t>
            </w:r>
          </w:p>
        </w:tc>
      </w:tr>
      <w:tr w:rsidR="00AC3DCD" w:rsidRPr="00565CF2" w14:paraId="4DCDF684"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7B49964" w14:textId="77777777" w:rsidR="00AC3DCD" w:rsidRPr="00565CF2" w:rsidRDefault="00AC3DCD" w:rsidP="00AC3DCD">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Simplicity</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66D5810" w14:textId="77777777" w:rsidR="00AC3DCD" w:rsidRPr="00565CF2" w:rsidRDefault="00AC3DCD" w:rsidP="00AC3DCD">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The best structures were not the most complex ones.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BD82346" w14:textId="77777777" w:rsidR="00AC3DCD" w:rsidRPr="00565CF2" w:rsidRDefault="00AC3DCD" w:rsidP="00AC3DCD">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Keep governance lean but formal.</w:t>
            </w:r>
          </w:p>
        </w:tc>
      </w:tr>
      <w:tr w:rsidR="00AC3DCD" w:rsidRPr="00565CF2" w14:paraId="3B410822"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17707BB" w14:textId="77777777" w:rsidR="00AC3DCD" w:rsidRPr="00565CF2" w:rsidRDefault="00AC3DCD" w:rsidP="00AC3DCD">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lastRenderedPageBreak/>
              <w:t>Clear leadership</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E7092B5" w14:textId="77777777" w:rsidR="00AC3DCD" w:rsidRPr="00565CF2" w:rsidRDefault="00AC3DCD" w:rsidP="00AC3DCD">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Projects worked when one actor had clear responsibility.</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FB91AAC" w14:textId="77777777" w:rsidR="00AC3DCD" w:rsidRPr="00565CF2" w:rsidRDefault="00AC3DCD" w:rsidP="00AC3DCD">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Assign a single lead partner.</w:t>
            </w:r>
          </w:p>
        </w:tc>
      </w:tr>
      <w:tr w:rsidR="00AC3DCD" w:rsidRPr="00565CF2" w14:paraId="65413F46"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8E1DD6A" w14:textId="77777777" w:rsidR="00AC3DCD" w:rsidRPr="00565CF2" w:rsidRDefault="00AC3DCD" w:rsidP="00AC3DCD">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Local anchoring</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BF7F5EA" w14:textId="77777777" w:rsidR="00AC3DCD" w:rsidRPr="00565CF2" w:rsidRDefault="00AC3DCD" w:rsidP="00AC3DCD">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Solutions worked better when a trusted territorial body was involved.</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2A1D3A6" w14:textId="77777777" w:rsidR="00AC3DCD" w:rsidRPr="00565CF2" w:rsidRDefault="00AC3DCD" w:rsidP="00AC3DCD">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Anchor implementation locally.</w:t>
            </w:r>
          </w:p>
        </w:tc>
      </w:tr>
      <w:tr w:rsidR="00AC3DCD" w:rsidRPr="00565CF2" w14:paraId="13EE3E1F"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3255492" w14:textId="77777777" w:rsidR="00AC3DCD" w:rsidRPr="00565CF2" w:rsidRDefault="00AC3DCD" w:rsidP="00AC3DCD">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Regular coordination</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A2A2D59" w14:textId="77777777" w:rsidR="00AC3DCD" w:rsidRPr="00565CF2" w:rsidRDefault="00AC3DCD" w:rsidP="00AC3DCD">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Regular meetings reduced uncertainty.</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F1A6DAC" w14:textId="77777777" w:rsidR="00AC3DCD" w:rsidRPr="00565CF2" w:rsidRDefault="00AC3DCD" w:rsidP="00AC3DCD">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Use recurring coordination moments.</w:t>
            </w:r>
          </w:p>
        </w:tc>
      </w:tr>
    </w:tbl>
    <w:p w14:paraId="05377E81" w14:textId="77777777" w:rsidR="00A76370" w:rsidRPr="00565CF2" w:rsidRDefault="00A76370" w:rsidP="00A76370">
      <w:pPr>
        <w:rPr>
          <w:lang w:val="en-GB"/>
        </w:rPr>
      </w:pPr>
    </w:p>
    <w:p w14:paraId="7F236A76" w14:textId="77777777" w:rsidR="005E2083" w:rsidRPr="00565CF2" w:rsidRDefault="005E2083" w:rsidP="005E2083">
      <w:pPr>
        <w:pStyle w:val="Titolo3"/>
        <w:rPr>
          <w:lang w:val="en-GB"/>
        </w:rPr>
      </w:pPr>
      <w:r w:rsidRPr="00565CF2">
        <w:rPr>
          <w:lang w:val="en-GB"/>
        </w:rPr>
        <w:t>6. Capacity and Resource Allocation Patterns</w:t>
      </w:r>
    </w:p>
    <w:p w14:paraId="1202C87F" w14:textId="1399D5A7" w:rsidR="005E2083" w:rsidRPr="00565CF2" w:rsidRDefault="005E2083" w:rsidP="005E2083">
      <w:pPr>
        <w:rPr>
          <w:lang w:val="en-GB"/>
        </w:rPr>
      </w:pPr>
      <w:r w:rsidRPr="00565CF2">
        <w:rPr>
          <w:lang w:val="en-GB"/>
        </w:rPr>
        <w:t>The pilots also showed that transfer depends on realistic capacity planning. In several territories, the concept was acceptable, but implementation quality depended on whether the right people had enough time and support to do the work properly.</w:t>
      </w:r>
    </w:p>
    <w:p w14:paraId="126E401C" w14:textId="0FD25E72" w:rsidR="00AC3DCD" w:rsidRPr="00565CF2" w:rsidRDefault="005E2083" w:rsidP="005E2083">
      <w:pPr>
        <w:pStyle w:val="Titolo4"/>
        <w:rPr>
          <w:lang w:val="en-GB"/>
        </w:rPr>
      </w:pPr>
      <w:r w:rsidRPr="00565CF2">
        <w:rPr>
          <w:lang w:val="en-GB"/>
        </w:rPr>
        <w:t>6.1 Minimum viable capacity</w:t>
      </w:r>
    </w:p>
    <w:tbl>
      <w:tblPr>
        <w:tblW w:w="5000" w:type="pct"/>
        <w:tblCellMar>
          <w:top w:w="15" w:type="dxa"/>
          <w:left w:w="15" w:type="dxa"/>
          <w:bottom w:w="15" w:type="dxa"/>
          <w:right w:w="15" w:type="dxa"/>
        </w:tblCellMar>
        <w:tblLook w:val="04A0" w:firstRow="1" w:lastRow="0" w:firstColumn="1" w:lastColumn="0" w:noHBand="0" w:noVBand="1"/>
      </w:tblPr>
      <w:tblGrid>
        <w:gridCol w:w="1785"/>
        <w:gridCol w:w="1981"/>
        <w:gridCol w:w="1971"/>
        <w:gridCol w:w="1138"/>
        <w:gridCol w:w="2005"/>
      </w:tblGrid>
      <w:tr w:rsidR="00C621D6" w:rsidRPr="00565CF2" w14:paraId="2C53AE46"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50CCEBF7" w14:textId="77777777" w:rsidR="00C621D6" w:rsidRPr="00565CF2" w:rsidRDefault="00C621D6" w:rsidP="00C621D6">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Role</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60855572" w14:textId="77777777" w:rsidR="00C621D6" w:rsidRPr="00565CF2" w:rsidRDefault="00C621D6" w:rsidP="00C621D6">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Organization type</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762BD3C6" w14:textId="77777777" w:rsidR="00C621D6" w:rsidRPr="00565CF2" w:rsidRDefault="00C621D6" w:rsidP="00C621D6">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Minimum capacity</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0A683936" w14:textId="77777777" w:rsidR="00C621D6" w:rsidRPr="00565CF2" w:rsidRDefault="00C621D6" w:rsidP="00C621D6">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Training hours required</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5B677DD8" w14:textId="77777777" w:rsidR="00C621D6" w:rsidRPr="00565CF2" w:rsidRDefault="00C621D6" w:rsidP="00C621D6">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Tools provided</w:t>
            </w:r>
          </w:p>
        </w:tc>
      </w:tr>
      <w:tr w:rsidR="00C621D6" w:rsidRPr="00565CF2" w14:paraId="621ED3AE"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1516F00"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Pilot Coordinator</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C1C15FC"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Municipality, municipal union, regional association, or equivalent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C844D38"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Around 0.2–0.5 FTE for 4–6 months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A935408"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6–12 hours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10B85F4"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Guidelines, KPI sheet, reporting templates, contact list, toolkit</w:t>
            </w:r>
          </w:p>
        </w:tc>
      </w:tr>
      <w:tr w:rsidR="00C621D6" w:rsidRPr="00565CF2" w14:paraId="5D832309"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3ABA595"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School Liaison / Teacher Coordinator</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AFC2A21"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School</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6E92E7F"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One focal point per school during active implementation</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AA99761"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4–8 hours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7212487"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Educational kit, communication materials, rules, student materials</w:t>
            </w:r>
          </w:p>
        </w:tc>
      </w:tr>
      <w:tr w:rsidR="00C621D6" w:rsidRPr="00565CF2" w14:paraId="33F11A45"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AE401DD"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Environmental Educator / Trainer</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8283CD8"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NGO, external educator, environmental organization, or support provider</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AB32832"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Around 0.2–0.3 FTE during implementation</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619FE6C"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6–12 hours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E426387"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Presentations, workshop materials, facilitation guides</w:t>
            </w:r>
          </w:p>
        </w:tc>
      </w:tr>
      <w:tr w:rsidR="00C621D6" w:rsidRPr="00565CF2" w14:paraId="2BFEEEF9"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38995F1"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Waste Operator / Logistics Contact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04A2654"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Waste company, municipal waste department, or authorized operator</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7AD2DF3"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One operational contact during the pilot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9C8770E"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2–4 hours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A8C1B45"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Collection instructions, certificates, data recording sheet</w:t>
            </w:r>
          </w:p>
        </w:tc>
      </w:tr>
      <w:tr w:rsidR="00C621D6" w:rsidRPr="00565CF2" w14:paraId="56293345"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E22962E"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 xml:space="preserve">Municipal or </w:t>
            </w:r>
            <w:r w:rsidRPr="00565CF2">
              <w:rPr>
                <w:rFonts w:asciiTheme="majorHAnsi" w:eastAsia="Times New Roman" w:hAnsiTheme="majorHAnsi" w:cstheme="majorHAnsi"/>
                <w:lang w:val="en-GB" w:eastAsia="it-IT"/>
              </w:rPr>
              <w:lastRenderedPageBreak/>
              <w:t>Education Authority Support Role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FE846BE"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lastRenderedPageBreak/>
              <w:t xml:space="preserve">Municipality or </w:t>
            </w:r>
            <w:r w:rsidRPr="00565CF2">
              <w:rPr>
                <w:rFonts w:asciiTheme="majorHAnsi" w:eastAsia="Times New Roman" w:hAnsiTheme="majorHAnsi" w:cstheme="majorHAnsi"/>
                <w:lang w:val="en-GB" w:eastAsia="it-IT"/>
              </w:rPr>
              <w:lastRenderedPageBreak/>
              <w:t>regional education authority</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CEEAD61"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lastRenderedPageBreak/>
              <w:t xml:space="preserve">Around 0.05–0.1 </w:t>
            </w:r>
            <w:r w:rsidRPr="00565CF2">
              <w:rPr>
                <w:rFonts w:asciiTheme="majorHAnsi" w:eastAsia="Times New Roman" w:hAnsiTheme="majorHAnsi" w:cstheme="majorHAnsi"/>
                <w:lang w:val="en-GB" w:eastAsia="it-IT"/>
              </w:rPr>
              <w:lastRenderedPageBreak/>
              <w:t>FTE where authorization is needed</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B7E5194"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lastRenderedPageBreak/>
              <w:t>1–6 hours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80C97D2" w14:textId="77777777" w:rsidR="00C621D6" w:rsidRPr="00565CF2" w:rsidRDefault="00C621D6" w:rsidP="00C621D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 xml:space="preserve">Official </w:t>
            </w:r>
            <w:r w:rsidRPr="00565CF2">
              <w:rPr>
                <w:rFonts w:asciiTheme="majorHAnsi" w:eastAsia="Times New Roman" w:hAnsiTheme="majorHAnsi" w:cstheme="majorHAnsi"/>
                <w:lang w:val="en-GB" w:eastAsia="it-IT"/>
              </w:rPr>
              <w:lastRenderedPageBreak/>
              <w:t>communication templates, compliance guidance</w:t>
            </w:r>
          </w:p>
        </w:tc>
      </w:tr>
    </w:tbl>
    <w:p w14:paraId="57CE52A4" w14:textId="77777777" w:rsidR="005E2083" w:rsidRPr="00565CF2" w:rsidRDefault="005E2083" w:rsidP="005E2083">
      <w:pPr>
        <w:rPr>
          <w:lang w:val="en-GB"/>
        </w:rPr>
      </w:pPr>
    </w:p>
    <w:p w14:paraId="43E08759" w14:textId="432FF8CD" w:rsidR="002D7B84" w:rsidRPr="00565CF2" w:rsidRDefault="002D7B84" w:rsidP="002D7B84">
      <w:pPr>
        <w:rPr>
          <w:lang w:val="en-GB"/>
        </w:rPr>
      </w:pPr>
      <w:r w:rsidRPr="00565CF2">
        <w:rPr>
          <w:lang w:val="en-GB"/>
        </w:rPr>
        <w:t>The key message here is that small teams can work, but only if they are well-defined and well-supported. The limiting factor is often not the number of people involved, but whether coordination is protected in the workplan.</w:t>
      </w:r>
    </w:p>
    <w:p w14:paraId="09308F9C" w14:textId="17B52F1C" w:rsidR="00C621D6" w:rsidRPr="00565CF2" w:rsidRDefault="002D7B84" w:rsidP="002D7B84">
      <w:pPr>
        <w:pStyle w:val="Titolo4"/>
        <w:rPr>
          <w:lang w:val="en-GB"/>
        </w:rPr>
      </w:pPr>
      <w:r w:rsidRPr="00565CF2">
        <w:rPr>
          <w:lang w:val="en-GB"/>
        </w:rPr>
        <w:t>6.2 Capacity pattern summary</w:t>
      </w:r>
    </w:p>
    <w:tbl>
      <w:tblPr>
        <w:tblW w:w="5000" w:type="pct"/>
        <w:tblCellMar>
          <w:top w:w="15" w:type="dxa"/>
          <w:left w:w="15" w:type="dxa"/>
          <w:bottom w:w="15" w:type="dxa"/>
          <w:right w:w="15" w:type="dxa"/>
        </w:tblCellMar>
        <w:tblLook w:val="04A0" w:firstRow="1" w:lastRow="0" w:firstColumn="1" w:lastColumn="0" w:noHBand="0" w:noVBand="1"/>
      </w:tblPr>
      <w:tblGrid>
        <w:gridCol w:w="2179"/>
        <w:gridCol w:w="3726"/>
        <w:gridCol w:w="2975"/>
      </w:tblGrid>
      <w:tr w:rsidR="002D7B84" w:rsidRPr="00565CF2" w14:paraId="7A5843F1"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030AC75A" w14:textId="77777777" w:rsidR="002D7B84" w:rsidRPr="00565CF2" w:rsidRDefault="002D7B84" w:rsidP="002D7B84">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Pattern</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4F8E830A" w14:textId="77777777" w:rsidR="002D7B84" w:rsidRPr="00565CF2" w:rsidRDefault="002D7B84" w:rsidP="002D7B84">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Observation</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2945EB15" w14:textId="77777777" w:rsidR="002D7B84" w:rsidRPr="00565CF2" w:rsidRDefault="002D7B84" w:rsidP="002D7B84">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Recommendation</w:t>
            </w:r>
          </w:p>
        </w:tc>
      </w:tr>
      <w:tr w:rsidR="002D7B84" w:rsidRPr="00565CF2" w14:paraId="3111E60B"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733610C" w14:textId="77777777" w:rsidR="002D7B84" w:rsidRPr="00565CF2" w:rsidRDefault="002D7B84" w:rsidP="002D7B84">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Small teams can work</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91EE3CB" w14:textId="77777777" w:rsidR="002D7B84" w:rsidRPr="00565CF2" w:rsidRDefault="002D7B84" w:rsidP="002D7B84">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The pilot depended on a limited number of core roles.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115EC2A" w14:textId="77777777" w:rsidR="002D7B84" w:rsidRPr="00565CF2" w:rsidRDefault="002D7B84" w:rsidP="002D7B84">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Focus on role clarity.</w:t>
            </w:r>
          </w:p>
        </w:tc>
      </w:tr>
      <w:tr w:rsidR="002D7B84" w:rsidRPr="00565CF2" w14:paraId="1E95A977"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6B30539" w14:textId="77777777" w:rsidR="002D7B84" w:rsidRPr="00565CF2" w:rsidRDefault="002D7B84" w:rsidP="002D7B84">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Coordination time matters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CDC0B49" w14:textId="77777777" w:rsidR="002D7B84" w:rsidRPr="00565CF2" w:rsidRDefault="002D7B84" w:rsidP="002D7B84">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Managerial effort was often the bottleneck.</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0A9D678" w14:textId="77777777" w:rsidR="002D7B84" w:rsidRPr="00565CF2" w:rsidRDefault="002D7B84" w:rsidP="002D7B84">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Protect coordination time.</w:t>
            </w:r>
          </w:p>
        </w:tc>
      </w:tr>
      <w:tr w:rsidR="002D7B84" w:rsidRPr="00565CF2" w14:paraId="70DD8BAC"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E92F4F9" w14:textId="77777777" w:rsidR="002D7B84" w:rsidRPr="00565CF2" w:rsidRDefault="002D7B84" w:rsidP="002D7B84">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Training is targeted</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6CCDDE2" w14:textId="77777777" w:rsidR="002D7B84" w:rsidRPr="00565CF2" w:rsidRDefault="002D7B84" w:rsidP="002D7B84">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Short but focused training was enough for core roles.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C68F075" w14:textId="77777777" w:rsidR="002D7B84" w:rsidRPr="00565CF2" w:rsidRDefault="002D7B84" w:rsidP="002D7B84">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 xml:space="preserve">Train the people who </w:t>
            </w:r>
            <w:proofErr w:type="gramStart"/>
            <w:r w:rsidRPr="00565CF2">
              <w:rPr>
                <w:rFonts w:asciiTheme="majorHAnsi" w:eastAsia="Times New Roman" w:hAnsiTheme="majorHAnsi" w:cstheme="majorHAnsi"/>
                <w:lang w:val="en-GB" w:eastAsia="it-IT"/>
              </w:rPr>
              <w:t>actually deliver</w:t>
            </w:r>
            <w:proofErr w:type="gramEnd"/>
            <w:r w:rsidRPr="00565CF2">
              <w:rPr>
                <w:rFonts w:asciiTheme="majorHAnsi" w:eastAsia="Times New Roman" w:hAnsiTheme="majorHAnsi" w:cstheme="majorHAnsi"/>
                <w:lang w:val="en-GB" w:eastAsia="it-IT"/>
              </w:rPr>
              <w:t>.</w:t>
            </w:r>
          </w:p>
        </w:tc>
      </w:tr>
      <w:tr w:rsidR="002D7B84" w:rsidRPr="00565CF2" w14:paraId="42789A76"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E443726" w14:textId="77777777" w:rsidR="002D7B84" w:rsidRPr="00565CF2" w:rsidRDefault="002D7B84" w:rsidP="002D7B84">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Capacity is territorial</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A049BC7" w14:textId="77777777" w:rsidR="002D7B84" w:rsidRPr="00565CF2" w:rsidRDefault="002D7B84" w:rsidP="002D7B84">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Different settings require different support levels.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DD8D538" w14:textId="77777777" w:rsidR="002D7B84" w:rsidRPr="00565CF2" w:rsidRDefault="002D7B84" w:rsidP="002D7B84">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Assess capacity before transfer.</w:t>
            </w:r>
          </w:p>
        </w:tc>
      </w:tr>
    </w:tbl>
    <w:p w14:paraId="17B47493" w14:textId="77777777" w:rsidR="002D7B84" w:rsidRPr="00565CF2" w:rsidRDefault="002D7B84" w:rsidP="002D7B84">
      <w:pPr>
        <w:rPr>
          <w:lang w:val="en-GB"/>
        </w:rPr>
      </w:pPr>
    </w:p>
    <w:p w14:paraId="47AE8AC7" w14:textId="77777777" w:rsidR="009A27A6" w:rsidRPr="00565CF2" w:rsidRDefault="009A27A6" w:rsidP="009A27A6">
      <w:pPr>
        <w:pStyle w:val="Titolo3"/>
        <w:rPr>
          <w:lang w:val="en-GB"/>
        </w:rPr>
      </w:pPr>
      <w:r w:rsidRPr="00565CF2">
        <w:rPr>
          <w:lang w:val="en-GB"/>
        </w:rPr>
        <w:t>7. Strategic Recommendations for 2027-2030</w:t>
      </w:r>
    </w:p>
    <w:p w14:paraId="6A377250" w14:textId="7D99FD7B" w:rsidR="009A27A6" w:rsidRPr="00565CF2" w:rsidRDefault="009A27A6" w:rsidP="009A27A6">
      <w:pPr>
        <w:rPr>
          <w:lang w:val="en-GB"/>
        </w:rPr>
      </w:pPr>
      <w:r w:rsidRPr="00565CF2">
        <w:rPr>
          <w:lang w:val="en-GB"/>
        </w:rPr>
        <w:t>This final section translates the lessons into priorities for future upscaling. The aim is not to prescribe a rigid sequence, but to show where effort should be concentrated if future projects want to increase the chance of successful transfer.</w:t>
      </w:r>
    </w:p>
    <w:p w14:paraId="2C1CC341" w14:textId="6C2957FA" w:rsidR="002D7B84" w:rsidRPr="00565CF2" w:rsidRDefault="009A27A6" w:rsidP="009A27A6">
      <w:pPr>
        <w:pStyle w:val="Titolo4"/>
        <w:rPr>
          <w:lang w:val="en-GB"/>
        </w:rPr>
      </w:pPr>
      <w:r w:rsidRPr="00565CF2">
        <w:rPr>
          <w:lang w:val="en-GB"/>
        </w:rPr>
        <w:t>7.1 Priority actions</w:t>
      </w:r>
    </w:p>
    <w:tbl>
      <w:tblPr>
        <w:tblW w:w="5000" w:type="pct"/>
        <w:tblCellMar>
          <w:top w:w="15" w:type="dxa"/>
          <w:left w:w="15" w:type="dxa"/>
          <w:bottom w:w="15" w:type="dxa"/>
          <w:right w:w="15" w:type="dxa"/>
        </w:tblCellMar>
        <w:tblLook w:val="04A0" w:firstRow="1" w:lastRow="0" w:firstColumn="1" w:lastColumn="0" w:noHBand="0" w:noVBand="1"/>
      </w:tblPr>
      <w:tblGrid>
        <w:gridCol w:w="921"/>
        <w:gridCol w:w="4030"/>
        <w:gridCol w:w="3929"/>
      </w:tblGrid>
      <w:tr w:rsidR="009A27A6" w:rsidRPr="00565CF2" w14:paraId="1C15C8F6"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112A6C2B" w14:textId="77777777" w:rsidR="009A27A6" w:rsidRPr="00565CF2" w:rsidRDefault="009A27A6" w:rsidP="009A27A6">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Priority</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23846645" w14:textId="77777777" w:rsidR="009A27A6" w:rsidRPr="00565CF2" w:rsidRDefault="009A27A6" w:rsidP="009A27A6">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Recommendation</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295424D5" w14:textId="77777777" w:rsidR="009A27A6" w:rsidRPr="00565CF2" w:rsidRDefault="009A27A6" w:rsidP="009A27A6">
            <w:pPr>
              <w:spacing w:after="0" w:line="240" w:lineRule="auto"/>
              <w:rPr>
                <w:rFonts w:asciiTheme="majorHAnsi" w:eastAsia="Times New Roman" w:hAnsiTheme="majorHAnsi" w:cstheme="majorHAnsi"/>
                <w:b/>
                <w:bCs/>
                <w:lang w:val="en-GB" w:eastAsia="it-IT"/>
              </w:rPr>
            </w:pPr>
            <w:r w:rsidRPr="00565CF2">
              <w:rPr>
                <w:rFonts w:asciiTheme="majorHAnsi" w:eastAsia="Times New Roman" w:hAnsiTheme="majorHAnsi" w:cstheme="majorHAnsi"/>
                <w:b/>
                <w:bCs/>
                <w:lang w:val="en-GB" w:eastAsia="it-IT"/>
              </w:rPr>
              <w:t>Why it matters</w:t>
            </w:r>
          </w:p>
        </w:tc>
      </w:tr>
      <w:tr w:rsidR="009A27A6" w:rsidRPr="00565CF2" w14:paraId="3D399E58"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ACB4715" w14:textId="77777777" w:rsidR="009A27A6" w:rsidRPr="00565CF2" w:rsidRDefault="009A27A6" w:rsidP="009A27A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1</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372AF92" w14:textId="77777777" w:rsidR="009A27A6" w:rsidRPr="00565CF2" w:rsidRDefault="009A27A6" w:rsidP="009A27A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Start with legal and institutional feasibility.</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1C63DB1" w14:textId="77777777" w:rsidR="009A27A6" w:rsidRPr="00565CF2" w:rsidRDefault="009A27A6" w:rsidP="009A27A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Prevents launching unworkable solutions.</w:t>
            </w:r>
          </w:p>
        </w:tc>
      </w:tr>
      <w:tr w:rsidR="009A27A6" w:rsidRPr="00565CF2" w14:paraId="2CC8D684"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67C7726" w14:textId="77777777" w:rsidR="009A27A6" w:rsidRPr="00565CF2" w:rsidRDefault="009A27A6" w:rsidP="009A27A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2</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FF3DD32" w14:textId="77777777" w:rsidR="009A27A6" w:rsidRPr="00565CF2" w:rsidRDefault="009A27A6" w:rsidP="009A27A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Build a strong core partnership early.</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979B2AF" w14:textId="77777777" w:rsidR="009A27A6" w:rsidRPr="00565CF2" w:rsidRDefault="009A27A6" w:rsidP="009A27A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Reduces delays and weak ownership.</w:t>
            </w:r>
          </w:p>
        </w:tc>
      </w:tr>
      <w:tr w:rsidR="009A27A6" w:rsidRPr="00565CF2" w14:paraId="73266CD9"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FDA51DB" w14:textId="77777777" w:rsidR="009A27A6" w:rsidRPr="00565CF2" w:rsidRDefault="009A27A6" w:rsidP="009A27A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3</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5831878" w14:textId="77777777" w:rsidR="009A27A6" w:rsidRPr="00565CF2" w:rsidRDefault="009A27A6" w:rsidP="009A27A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Use existing structures first.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14EB298" w14:textId="77777777" w:rsidR="009A27A6" w:rsidRPr="00565CF2" w:rsidRDefault="009A27A6" w:rsidP="009A27A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Lowers cost and improves transferability.</w:t>
            </w:r>
          </w:p>
        </w:tc>
      </w:tr>
      <w:tr w:rsidR="009A27A6" w:rsidRPr="00565CF2" w14:paraId="77CC7440"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42AB5CC" w14:textId="77777777" w:rsidR="009A27A6" w:rsidRPr="00565CF2" w:rsidRDefault="009A27A6" w:rsidP="009A27A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lastRenderedPageBreak/>
              <w:t>4</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58D1B6B" w14:textId="77777777" w:rsidR="009A27A6" w:rsidRPr="00565CF2" w:rsidRDefault="009A27A6" w:rsidP="009A27A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Introduce the solution in phases.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1619636" w14:textId="77777777" w:rsidR="009A27A6" w:rsidRPr="00565CF2" w:rsidRDefault="009A27A6" w:rsidP="009A27A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Makes scaling safer and more realistic.</w:t>
            </w:r>
          </w:p>
        </w:tc>
      </w:tr>
      <w:tr w:rsidR="009A27A6" w:rsidRPr="00565CF2" w14:paraId="786C17B3"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994A4E5" w14:textId="77777777" w:rsidR="009A27A6" w:rsidRPr="00565CF2" w:rsidRDefault="009A27A6" w:rsidP="009A27A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5</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686E9BD" w14:textId="77777777" w:rsidR="009A27A6" w:rsidRPr="00565CF2" w:rsidRDefault="009A27A6" w:rsidP="009A27A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Keep monitoring simple and continuous.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0C1DDF1" w14:textId="77777777" w:rsidR="009A27A6" w:rsidRPr="00565CF2" w:rsidRDefault="009A27A6" w:rsidP="009A27A6">
            <w:pPr>
              <w:spacing w:after="0" w:line="240" w:lineRule="auto"/>
              <w:rPr>
                <w:rFonts w:asciiTheme="majorHAnsi" w:eastAsia="Times New Roman" w:hAnsiTheme="majorHAnsi" w:cstheme="majorHAnsi"/>
                <w:lang w:val="en-GB" w:eastAsia="it-IT"/>
              </w:rPr>
            </w:pPr>
            <w:r w:rsidRPr="00565CF2">
              <w:rPr>
                <w:rFonts w:asciiTheme="majorHAnsi" w:eastAsia="Times New Roman" w:hAnsiTheme="majorHAnsi" w:cstheme="majorHAnsi"/>
                <w:lang w:val="en-GB" w:eastAsia="it-IT"/>
              </w:rPr>
              <w:t>Supports learning and adaptation.</w:t>
            </w:r>
          </w:p>
        </w:tc>
      </w:tr>
    </w:tbl>
    <w:p w14:paraId="2D5FB683" w14:textId="77777777" w:rsidR="009A27A6" w:rsidRPr="00565CF2" w:rsidRDefault="009A27A6" w:rsidP="009A27A6">
      <w:pPr>
        <w:rPr>
          <w:lang w:val="en-GB"/>
        </w:rPr>
      </w:pPr>
    </w:p>
    <w:p w14:paraId="723309DF" w14:textId="0EAF22C9" w:rsidR="009A27A6" w:rsidRPr="00565CF2" w:rsidRDefault="00BD5686" w:rsidP="00BD5686">
      <w:pPr>
        <w:pStyle w:val="Titolo4"/>
        <w:rPr>
          <w:lang w:val="en-GB"/>
        </w:rPr>
      </w:pPr>
      <w:r w:rsidRPr="00565CF2">
        <w:rPr>
          <w:lang w:val="en-GB"/>
        </w:rPr>
        <w:t>7.2 Solution-by-solution priorities</w:t>
      </w:r>
    </w:p>
    <w:tbl>
      <w:tblPr>
        <w:tblW w:w="5000" w:type="pct"/>
        <w:tblCellMar>
          <w:top w:w="15" w:type="dxa"/>
          <w:left w:w="15" w:type="dxa"/>
          <w:bottom w:w="15" w:type="dxa"/>
          <w:right w:w="15" w:type="dxa"/>
        </w:tblCellMar>
        <w:tblLook w:val="04A0" w:firstRow="1" w:lastRow="0" w:firstColumn="1" w:lastColumn="0" w:noHBand="0" w:noVBand="1"/>
      </w:tblPr>
      <w:tblGrid>
        <w:gridCol w:w="1352"/>
        <w:gridCol w:w="2669"/>
        <w:gridCol w:w="2556"/>
        <w:gridCol w:w="2303"/>
      </w:tblGrid>
      <w:tr w:rsidR="00BD5686" w:rsidRPr="00565CF2" w14:paraId="455870D4"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5EBE7CD8" w14:textId="77777777" w:rsidR="00BD5686" w:rsidRPr="00565CF2" w:rsidRDefault="00BD5686" w:rsidP="00BD5686">
            <w:pPr>
              <w:spacing w:after="0" w:line="240" w:lineRule="auto"/>
              <w:rPr>
                <w:rFonts w:asciiTheme="majorHAnsi" w:eastAsia="Times New Roman" w:hAnsiTheme="majorHAnsi" w:cstheme="majorHAnsi"/>
                <w:b/>
                <w:bCs/>
                <w:sz w:val="21"/>
                <w:szCs w:val="21"/>
                <w:lang w:val="en-GB" w:eastAsia="it-IT"/>
              </w:rPr>
            </w:pPr>
            <w:r w:rsidRPr="00565CF2">
              <w:rPr>
                <w:rFonts w:asciiTheme="majorHAnsi" w:eastAsia="Times New Roman" w:hAnsiTheme="majorHAnsi" w:cstheme="majorHAnsi"/>
                <w:b/>
                <w:bCs/>
                <w:sz w:val="21"/>
                <w:szCs w:val="21"/>
                <w:lang w:val="en-GB" w:eastAsia="it-IT"/>
              </w:rPr>
              <w:t>Solution</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4CC8413C" w14:textId="77777777" w:rsidR="00BD5686" w:rsidRPr="00565CF2" w:rsidRDefault="00BD5686" w:rsidP="00BD5686">
            <w:pPr>
              <w:spacing w:after="0" w:line="240" w:lineRule="auto"/>
              <w:rPr>
                <w:rFonts w:asciiTheme="majorHAnsi" w:eastAsia="Times New Roman" w:hAnsiTheme="majorHAnsi" w:cstheme="majorHAnsi"/>
                <w:b/>
                <w:bCs/>
                <w:sz w:val="21"/>
                <w:szCs w:val="21"/>
                <w:lang w:val="en-GB" w:eastAsia="it-IT"/>
              </w:rPr>
            </w:pPr>
            <w:proofErr w:type="gramStart"/>
            <w:r w:rsidRPr="00565CF2">
              <w:rPr>
                <w:rFonts w:asciiTheme="majorHAnsi" w:eastAsia="Times New Roman" w:hAnsiTheme="majorHAnsi" w:cstheme="majorHAnsi"/>
                <w:b/>
                <w:bCs/>
                <w:sz w:val="21"/>
                <w:szCs w:val="21"/>
                <w:lang w:val="en-GB" w:eastAsia="it-IT"/>
              </w:rPr>
              <w:t>First priority</w:t>
            </w:r>
            <w:proofErr w:type="gramEnd"/>
            <w:r w:rsidRPr="00565CF2">
              <w:rPr>
                <w:rFonts w:asciiTheme="majorHAnsi" w:eastAsia="Times New Roman" w:hAnsiTheme="majorHAnsi" w:cstheme="majorHAnsi"/>
                <w:b/>
                <w:bCs/>
                <w:sz w:val="21"/>
                <w:szCs w:val="21"/>
                <w:lang w:val="en-GB" w:eastAsia="it-IT"/>
              </w:rPr>
              <w:t xml:space="preserve"> actions</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397B81AD" w14:textId="77777777" w:rsidR="00BD5686" w:rsidRPr="00565CF2" w:rsidRDefault="00BD5686" w:rsidP="00BD5686">
            <w:pPr>
              <w:spacing w:after="0" w:line="240" w:lineRule="auto"/>
              <w:rPr>
                <w:rFonts w:asciiTheme="majorHAnsi" w:eastAsia="Times New Roman" w:hAnsiTheme="majorHAnsi" w:cstheme="majorHAnsi"/>
                <w:b/>
                <w:bCs/>
                <w:sz w:val="21"/>
                <w:szCs w:val="21"/>
                <w:lang w:val="en-GB" w:eastAsia="it-IT"/>
              </w:rPr>
            </w:pPr>
            <w:r w:rsidRPr="00565CF2">
              <w:rPr>
                <w:rFonts w:asciiTheme="majorHAnsi" w:eastAsia="Times New Roman" w:hAnsiTheme="majorHAnsi" w:cstheme="majorHAnsi"/>
                <w:b/>
                <w:bCs/>
                <w:sz w:val="21"/>
                <w:szCs w:val="21"/>
                <w:lang w:val="en-GB" w:eastAsia="it-IT"/>
              </w:rPr>
              <w:t>Second priority actions</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522A8C62" w14:textId="77777777" w:rsidR="00BD5686" w:rsidRPr="00565CF2" w:rsidRDefault="00BD5686" w:rsidP="00BD5686">
            <w:pPr>
              <w:spacing w:after="0" w:line="240" w:lineRule="auto"/>
              <w:rPr>
                <w:rFonts w:asciiTheme="majorHAnsi" w:eastAsia="Times New Roman" w:hAnsiTheme="majorHAnsi" w:cstheme="majorHAnsi"/>
                <w:b/>
                <w:bCs/>
                <w:sz w:val="21"/>
                <w:szCs w:val="21"/>
                <w:lang w:val="en-GB" w:eastAsia="it-IT"/>
              </w:rPr>
            </w:pPr>
            <w:r w:rsidRPr="00565CF2">
              <w:rPr>
                <w:rFonts w:asciiTheme="majorHAnsi" w:eastAsia="Times New Roman" w:hAnsiTheme="majorHAnsi" w:cstheme="majorHAnsi"/>
                <w:b/>
                <w:bCs/>
                <w:sz w:val="21"/>
                <w:szCs w:val="21"/>
                <w:lang w:val="en-GB" w:eastAsia="it-IT"/>
              </w:rPr>
              <w:t>Third priority actions</w:t>
            </w:r>
          </w:p>
        </w:tc>
      </w:tr>
      <w:tr w:rsidR="00BD5686" w:rsidRPr="00565CF2" w14:paraId="097CFE4B"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CED5E10" w14:textId="77777777" w:rsidR="00BD5686" w:rsidRPr="00565CF2" w:rsidRDefault="00BD5686" w:rsidP="00BD5686">
            <w:pPr>
              <w:spacing w:after="0" w:line="240" w:lineRule="auto"/>
              <w:rPr>
                <w:rFonts w:asciiTheme="majorHAnsi" w:eastAsia="Times New Roman" w:hAnsiTheme="majorHAnsi" w:cstheme="majorHAnsi"/>
                <w:sz w:val="21"/>
                <w:szCs w:val="21"/>
                <w:lang w:val="en-GB" w:eastAsia="it-IT"/>
              </w:rPr>
            </w:pPr>
            <w:r w:rsidRPr="00565CF2">
              <w:rPr>
                <w:rFonts w:asciiTheme="majorHAnsi" w:eastAsia="Times New Roman" w:hAnsiTheme="majorHAnsi" w:cstheme="majorHAnsi"/>
                <w:sz w:val="21"/>
                <w:szCs w:val="21"/>
                <w:lang w:val="en-GB" w:eastAsia="it-IT"/>
              </w:rPr>
              <w:t>WEEE BEHAVE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93E7EFA" w14:textId="77777777" w:rsidR="00BD5686" w:rsidRPr="00565CF2" w:rsidRDefault="00BD5686" w:rsidP="00BD5686">
            <w:pPr>
              <w:spacing w:after="0" w:line="240" w:lineRule="auto"/>
              <w:rPr>
                <w:rFonts w:asciiTheme="majorHAnsi" w:eastAsia="Times New Roman" w:hAnsiTheme="majorHAnsi" w:cstheme="majorHAnsi"/>
                <w:sz w:val="21"/>
                <w:szCs w:val="21"/>
                <w:lang w:val="en-GB" w:eastAsia="it-IT"/>
              </w:rPr>
            </w:pPr>
            <w:r w:rsidRPr="00565CF2">
              <w:rPr>
                <w:rFonts w:asciiTheme="majorHAnsi" w:eastAsia="Times New Roman" w:hAnsiTheme="majorHAnsi" w:cstheme="majorHAnsi"/>
                <w:sz w:val="21"/>
                <w:szCs w:val="21"/>
                <w:lang w:val="en-GB" w:eastAsia="it-IT"/>
              </w:rPr>
              <w:t>Secure school and municipal commitments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D9A1DB4" w14:textId="77777777" w:rsidR="00BD5686" w:rsidRPr="00565CF2" w:rsidRDefault="00BD5686" w:rsidP="00BD5686">
            <w:pPr>
              <w:spacing w:after="0" w:line="240" w:lineRule="auto"/>
              <w:rPr>
                <w:rFonts w:asciiTheme="majorHAnsi" w:eastAsia="Times New Roman" w:hAnsiTheme="majorHAnsi" w:cstheme="majorHAnsi"/>
                <w:sz w:val="21"/>
                <w:szCs w:val="21"/>
                <w:lang w:val="en-GB" w:eastAsia="it-IT"/>
              </w:rPr>
            </w:pPr>
            <w:r w:rsidRPr="00565CF2">
              <w:rPr>
                <w:rFonts w:asciiTheme="majorHAnsi" w:eastAsia="Times New Roman" w:hAnsiTheme="majorHAnsi" w:cstheme="majorHAnsi"/>
                <w:sz w:val="21"/>
                <w:szCs w:val="21"/>
                <w:lang w:val="en-GB" w:eastAsia="it-IT"/>
              </w:rPr>
              <w:t>Prepare adapted educational materials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C7256E9" w14:textId="77777777" w:rsidR="00BD5686" w:rsidRPr="00565CF2" w:rsidRDefault="00BD5686" w:rsidP="00BD5686">
            <w:pPr>
              <w:spacing w:after="0" w:line="240" w:lineRule="auto"/>
              <w:rPr>
                <w:rFonts w:asciiTheme="majorHAnsi" w:eastAsia="Times New Roman" w:hAnsiTheme="majorHAnsi" w:cstheme="majorHAnsi"/>
                <w:sz w:val="21"/>
                <w:szCs w:val="21"/>
                <w:lang w:val="en-GB" w:eastAsia="it-IT"/>
              </w:rPr>
            </w:pPr>
            <w:r w:rsidRPr="00565CF2">
              <w:rPr>
                <w:rFonts w:asciiTheme="majorHAnsi" w:eastAsia="Times New Roman" w:hAnsiTheme="majorHAnsi" w:cstheme="majorHAnsi"/>
                <w:sz w:val="21"/>
                <w:szCs w:val="21"/>
                <w:lang w:val="en-GB" w:eastAsia="it-IT"/>
              </w:rPr>
              <w:t>Set up collection links and monitoring</w:t>
            </w:r>
          </w:p>
        </w:tc>
      </w:tr>
      <w:tr w:rsidR="00BD5686" w:rsidRPr="00565CF2" w14:paraId="49D3AF0A"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B3427F7" w14:textId="77777777" w:rsidR="00BD5686" w:rsidRPr="00565CF2" w:rsidRDefault="00BD5686" w:rsidP="00BD5686">
            <w:pPr>
              <w:spacing w:after="0" w:line="240" w:lineRule="auto"/>
              <w:rPr>
                <w:rFonts w:asciiTheme="majorHAnsi" w:eastAsia="Times New Roman" w:hAnsiTheme="majorHAnsi" w:cstheme="majorHAnsi"/>
                <w:sz w:val="21"/>
                <w:szCs w:val="21"/>
                <w:lang w:val="en-GB" w:eastAsia="it-IT"/>
              </w:rPr>
            </w:pPr>
            <w:r w:rsidRPr="00565CF2">
              <w:rPr>
                <w:rFonts w:asciiTheme="majorHAnsi" w:eastAsia="Times New Roman" w:hAnsiTheme="majorHAnsi" w:cstheme="majorHAnsi"/>
                <w:sz w:val="21"/>
                <w:szCs w:val="21"/>
                <w:lang w:val="en-GB" w:eastAsia="it-IT"/>
              </w:rPr>
              <w:t>0WEEE PROCURE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AEDE25B" w14:textId="77777777" w:rsidR="00BD5686" w:rsidRPr="00565CF2" w:rsidRDefault="00BD5686" w:rsidP="00BD5686">
            <w:pPr>
              <w:spacing w:after="0" w:line="240" w:lineRule="auto"/>
              <w:rPr>
                <w:rFonts w:asciiTheme="majorHAnsi" w:eastAsia="Times New Roman" w:hAnsiTheme="majorHAnsi" w:cstheme="majorHAnsi"/>
                <w:sz w:val="21"/>
                <w:szCs w:val="21"/>
                <w:lang w:val="en-GB" w:eastAsia="it-IT"/>
              </w:rPr>
            </w:pPr>
            <w:r w:rsidRPr="00565CF2">
              <w:rPr>
                <w:rFonts w:asciiTheme="majorHAnsi" w:eastAsia="Times New Roman" w:hAnsiTheme="majorHAnsi" w:cstheme="majorHAnsi"/>
                <w:sz w:val="21"/>
                <w:szCs w:val="21"/>
                <w:lang w:val="en-GB" w:eastAsia="it-IT"/>
              </w:rPr>
              <w:t>Verify legal compliance and procurement rules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3119CAB" w14:textId="77777777" w:rsidR="00BD5686" w:rsidRPr="00565CF2" w:rsidRDefault="00BD5686" w:rsidP="00BD5686">
            <w:pPr>
              <w:spacing w:after="0" w:line="240" w:lineRule="auto"/>
              <w:rPr>
                <w:rFonts w:asciiTheme="majorHAnsi" w:eastAsia="Times New Roman" w:hAnsiTheme="majorHAnsi" w:cstheme="majorHAnsi"/>
                <w:sz w:val="21"/>
                <w:szCs w:val="21"/>
                <w:lang w:val="en-GB" w:eastAsia="it-IT"/>
              </w:rPr>
            </w:pPr>
            <w:r w:rsidRPr="00565CF2">
              <w:rPr>
                <w:rFonts w:asciiTheme="majorHAnsi" w:eastAsia="Times New Roman" w:hAnsiTheme="majorHAnsi" w:cstheme="majorHAnsi"/>
                <w:sz w:val="21"/>
                <w:szCs w:val="21"/>
                <w:lang w:val="en-GB" w:eastAsia="it-IT"/>
              </w:rPr>
              <w:t>Define responsibilities and governance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5B41D44" w14:textId="77777777" w:rsidR="00BD5686" w:rsidRPr="00565CF2" w:rsidRDefault="00BD5686" w:rsidP="00BD5686">
            <w:pPr>
              <w:spacing w:after="0" w:line="240" w:lineRule="auto"/>
              <w:rPr>
                <w:rFonts w:asciiTheme="majorHAnsi" w:eastAsia="Times New Roman" w:hAnsiTheme="majorHAnsi" w:cstheme="majorHAnsi"/>
                <w:sz w:val="21"/>
                <w:szCs w:val="21"/>
                <w:lang w:val="en-GB" w:eastAsia="it-IT"/>
              </w:rPr>
            </w:pPr>
            <w:r w:rsidRPr="00565CF2">
              <w:rPr>
                <w:rFonts w:asciiTheme="majorHAnsi" w:eastAsia="Times New Roman" w:hAnsiTheme="majorHAnsi" w:cstheme="majorHAnsi"/>
                <w:sz w:val="21"/>
                <w:szCs w:val="21"/>
                <w:lang w:val="en-GB" w:eastAsia="it-IT"/>
              </w:rPr>
              <w:t>Prepare a pilot procurement pathway</w:t>
            </w:r>
          </w:p>
        </w:tc>
      </w:tr>
      <w:tr w:rsidR="00BD5686" w:rsidRPr="00565CF2" w14:paraId="74A98B59"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8EEFDB4" w14:textId="77777777" w:rsidR="00BD5686" w:rsidRPr="00565CF2" w:rsidRDefault="00BD5686" w:rsidP="00BD5686">
            <w:pPr>
              <w:spacing w:after="0" w:line="240" w:lineRule="auto"/>
              <w:rPr>
                <w:rFonts w:asciiTheme="majorHAnsi" w:eastAsia="Times New Roman" w:hAnsiTheme="majorHAnsi" w:cstheme="majorHAnsi"/>
                <w:sz w:val="21"/>
                <w:szCs w:val="21"/>
                <w:lang w:val="en-GB" w:eastAsia="it-IT"/>
              </w:rPr>
            </w:pPr>
            <w:r w:rsidRPr="00565CF2">
              <w:rPr>
                <w:rFonts w:asciiTheme="majorHAnsi" w:eastAsia="Times New Roman" w:hAnsiTheme="majorHAnsi" w:cstheme="majorHAnsi"/>
                <w:sz w:val="21"/>
                <w:szCs w:val="21"/>
                <w:lang w:val="en-GB" w:eastAsia="it-IT"/>
              </w:rPr>
              <w:t>WEEE REUSE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387D1E2" w14:textId="77777777" w:rsidR="00BD5686" w:rsidRPr="00565CF2" w:rsidRDefault="00BD5686" w:rsidP="00BD5686">
            <w:pPr>
              <w:spacing w:after="0" w:line="240" w:lineRule="auto"/>
              <w:rPr>
                <w:rFonts w:asciiTheme="majorHAnsi" w:eastAsia="Times New Roman" w:hAnsiTheme="majorHAnsi" w:cstheme="majorHAnsi"/>
                <w:sz w:val="21"/>
                <w:szCs w:val="21"/>
                <w:lang w:val="en-GB" w:eastAsia="it-IT"/>
              </w:rPr>
            </w:pPr>
            <w:r w:rsidRPr="00565CF2">
              <w:rPr>
                <w:rFonts w:asciiTheme="majorHAnsi" w:eastAsia="Times New Roman" w:hAnsiTheme="majorHAnsi" w:cstheme="majorHAnsi"/>
                <w:sz w:val="21"/>
                <w:szCs w:val="21"/>
                <w:lang w:val="en-GB" w:eastAsia="it-IT"/>
              </w:rPr>
              <w:t>Identify reuse streams and local actors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C8BAFBA" w14:textId="77777777" w:rsidR="00BD5686" w:rsidRPr="00565CF2" w:rsidRDefault="00BD5686" w:rsidP="00BD5686">
            <w:pPr>
              <w:spacing w:after="0" w:line="240" w:lineRule="auto"/>
              <w:rPr>
                <w:rFonts w:asciiTheme="majorHAnsi" w:eastAsia="Times New Roman" w:hAnsiTheme="majorHAnsi" w:cstheme="majorHAnsi"/>
                <w:sz w:val="21"/>
                <w:szCs w:val="21"/>
                <w:lang w:val="en-GB" w:eastAsia="it-IT"/>
              </w:rPr>
            </w:pPr>
            <w:r w:rsidRPr="00565CF2">
              <w:rPr>
                <w:rFonts w:asciiTheme="majorHAnsi" w:eastAsia="Times New Roman" w:hAnsiTheme="majorHAnsi" w:cstheme="majorHAnsi"/>
                <w:sz w:val="21"/>
                <w:szCs w:val="21"/>
                <w:lang w:val="en-GB" w:eastAsia="it-IT"/>
              </w:rPr>
              <w:t>Set up mentoring and social inclusion links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5E1709A" w14:textId="77777777" w:rsidR="00BD5686" w:rsidRPr="00565CF2" w:rsidRDefault="00BD5686" w:rsidP="00BD5686">
            <w:pPr>
              <w:spacing w:after="0" w:line="240" w:lineRule="auto"/>
              <w:rPr>
                <w:rFonts w:asciiTheme="majorHAnsi" w:eastAsia="Times New Roman" w:hAnsiTheme="majorHAnsi" w:cstheme="majorHAnsi"/>
                <w:sz w:val="21"/>
                <w:szCs w:val="21"/>
                <w:lang w:val="en-GB" w:eastAsia="it-IT"/>
              </w:rPr>
            </w:pPr>
            <w:r w:rsidRPr="00565CF2">
              <w:rPr>
                <w:rFonts w:asciiTheme="majorHAnsi" w:eastAsia="Times New Roman" w:hAnsiTheme="majorHAnsi" w:cstheme="majorHAnsi"/>
                <w:sz w:val="21"/>
                <w:szCs w:val="21"/>
                <w:lang w:val="en-GB" w:eastAsia="it-IT"/>
              </w:rPr>
              <w:t>Build sustainable operational routines</w:t>
            </w:r>
          </w:p>
        </w:tc>
      </w:tr>
    </w:tbl>
    <w:p w14:paraId="2EBA219B" w14:textId="77777777" w:rsidR="00BD5686" w:rsidRPr="00565CF2" w:rsidRDefault="00BD5686" w:rsidP="00BD5686">
      <w:pPr>
        <w:rPr>
          <w:lang w:val="en-GB"/>
        </w:rPr>
      </w:pPr>
    </w:p>
    <w:p w14:paraId="13242877" w14:textId="68DE8143" w:rsidR="007F1F90" w:rsidRPr="00565CF2" w:rsidRDefault="007F1F90" w:rsidP="007F1F90">
      <w:pPr>
        <w:rPr>
          <w:lang w:val="en-GB"/>
        </w:rPr>
      </w:pPr>
      <w:r w:rsidRPr="00565CF2">
        <w:rPr>
          <w:lang w:val="en-GB"/>
        </w:rPr>
        <w:t>The table above makes the different entry points immediately visible. That is useful for future implementers because it helps them avoid applying the same sequencing to all solutions, even though the operational logic of each pilot is different.</w:t>
      </w:r>
    </w:p>
    <w:p w14:paraId="6D3113A0" w14:textId="77777777" w:rsidR="007F1F90" w:rsidRPr="00565CF2" w:rsidRDefault="007F1F90" w:rsidP="007F1F90">
      <w:pPr>
        <w:pStyle w:val="Titolo3"/>
        <w:rPr>
          <w:lang w:val="en-GB"/>
        </w:rPr>
      </w:pPr>
      <w:r w:rsidRPr="00565CF2">
        <w:rPr>
          <w:lang w:val="en-GB"/>
        </w:rPr>
        <w:t>8. Conclusion</w:t>
      </w:r>
    </w:p>
    <w:p w14:paraId="17756DCD" w14:textId="4D7F0854" w:rsidR="007F1F90" w:rsidRPr="00565CF2" w:rsidRDefault="007F1F90" w:rsidP="007F1F90">
      <w:pPr>
        <w:rPr>
          <w:lang w:val="en-GB"/>
        </w:rPr>
      </w:pPr>
      <w:r w:rsidRPr="00565CF2">
        <w:rPr>
          <w:lang w:val="en-GB"/>
        </w:rPr>
        <w:t xml:space="preserve">The lessons from </w:t>
      </w:r>
      <w:proofErr w:type="spellStart"/>
      <w:r w:rsidRPr="00565CF2">
        <w:rPr>
          <w:lang w:val="en-GB"/>
        </w:rPr>
        <w:t>eWAsTER</w:t>
      </w:r>
      <w:proofErr w:type="spellEnd"/>
      <w:r w:rsidRPr="00565CF2">
        <w:rPr>
          <w:lang w:val="en-GB"/>
        </w:rPr>
        <w:t xml:space="preserve"> show that successful transfer depends on more than technical validity. It depends on whether the solution can be embedded in the institutional, legal, and social conditions of the target territory.</w:t>
      </w:r>
    </w:p>
    <w:p w14:paraId="5D02FEBF" w14:textId="74BC42DB" w:rsidR="007F1F90" w:rsidRPr="00565CF2" w:rsidRDefault="007F1F90" w:rsidP="007F1F90">
      <w:pPr>
        <w:rPr>
          <w:lang w:val="en-GB"/>
        </w:rPr>
      </w:pPr>
      <w:r w:rsidRPr="00565CF2">
        <w:rPr>
          <w:lang w:val="en-GB"/>
        </w:rPr>
        <w:t>Across all three pilots, the most transferable insight is that practical cooperation matters more than formal complexity. Where partners were aligned, roles were clear, and adaptation was respected, the solutions moved from concept to implementation more effectively.</w:t>
      </w:r>
    </w:p>
    <w:p w14:paraId="56F3DA20" w14:textId="77777777" w:rsidR="007F1F90" w:rsidRPr="00565CF2" w:rsidRDefault="007F1F90" w:rsidP="007F1F90">
      <w:pPr>
        <w:pStyle w:val="Titolo3"/>
        <w:rPr>
          <w:lang w:val="en-GB"/>
        </w:rPr>
      </w:pPr>
      <w:r w:rsidRPr="00565CF2">
        <w:rPr>
          <w:lang w:val="en-GB"/>
        </w:rPr>
        <w:t>Appendix A: Link to D.3.4.1</w:t>
      </w:r>
    </w:p>
    <w:p w14:paraId="0268022A" w14:textId="6A8E4C0C" w:rsidR="007F1F90" w:rsidRPr="00565CF2" w:rsidRDefault="007F1F90" w:rsidP="007F1F90">
      <w:pPr>
        <w:rPr>
          <w:lang w:val="en-GB"/>
        </w:rPr>
      </w:pPr>
      <w:r w:rsidRPr="00565CF2">
        <w:rPr>
          <w:lang w:val="en-GB"/>
        </w:rPr>
        <w:t>This Tool 5 version can be used directly as the final narrative component of the D.3.4.1 transfer package and connected to:</w:t>
      </w:r>
    </w:p>
    <w:p w14:paraId="6F11C885" w14:textId="481E10E2" w:rsidR="007F1F90" w:rsidRPr="00565CF2" w:rsidRDefault="007F1F90" w:rsidP="007F1F90">
      <w:pPr>
        <w:pStyle w:val="Paragrafoelenco"/>
        <w:numPr>
          <w:ilvl w:val="0"/>
          <w:numId w:val="16"/>
        </w:numPr>
        <w:rPr>
          <w:lang w:val="en-GB"/>
        </w:rPr>
      </w:pPr>
      <w:r w:rsidRPr="00565CF2">
        <w:rPr>
          <w:lang w:val="en-GB"/>
        </w:rPr>
        <w:t>Tool 1 for transferability scoring.</w:t>
      </w:r>
    </w:p>
    <w:p w14:paraId="63AAE4DC" w14:textId="7C8BFF56" w:rsidR="007F1F90" w:rsidRPr="00565CF2" w:rsidRDefault="007F1F90" w:rsidP="007F1F90">
      <w:pPr>
        <w:pStyle w:val="Paragrafoelenco"/>
        <w:numPr>
          <w:ilvl w:val="0"/>
          <w:numId w:val="16"/>
        </w:numPr>
        <w:rPr>
          <w:lang w:val="en-GB"/>
        </w:rPr>
      </w:pPr>
      <w:r w:rsidRPr="00565CF2">
        <w:rPr>
          <w:lang w:val="en-GB"/>
        </w:rPr>
        <w:t>Tool 2 for KPI interpretation.</w:t>
      </w:r>
    </w:p>
    <w:p w14:paraId="519D8142" w14:textId="36806762" w:rsidR="007F1F90" w:rsidRPr="00565CF2" w:rsidRDefault="007F1F90" w:rsidP="007F1F90">
      <w:pPr>
        <w:pStyle w:val="Paragrafoelenco"/>
        <w:numPr>
          <w:ilvl w:val="0"/>
          <w:numId w:val="16"/>
        </w:numPr>
        <w:rPr>
          <w:lang w:val="en-GB"/>
        </w:rPr>
      </w:pPr>
      <w:r w:rsidRPr="00565CF2">
        <w:rPr>
          <w:lang w:val="en-GB"/>
        </w:rPr>
        <w:t>Tool 3 for solution factsheets.</w:t>
      </w:r>
    </w:p>
    <w:p w14:paraId="452EBC90" w14:textId="2274A1C9" w:rsidR="00BD5686" w:rsidRPr="00565CF2" w:rsidRDefault="007F1F90" w:rsidP="007F1F90">
      <w:pPr>
        <w:pStyle w:val="Paragrafoelenco"/>
        <w:numPr>
          <w:ilvl w:val="0"/>
          <w:numId w:val="16"/>
        </w:numPr>
        <w:rPr>
          <w:lang w:val="en-GB"/>
        </w:rPr>
      </w:pPr>
      <w:r w:rsidRPr="00565CF2">
        <w:rPr>
          <w:lang w:val="en-GB"/>
        </w:rPr>
        <w:t>Tool 4 for roadmap design and capacity planning.</w:t>
      </w:r>
    </w:p>
    <w:sectPr w:rsidR="00BD5686" w:rsidRPr="00565CF2"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49C7B35"/>
    <w:multiLevelType w:val="hybridMultilevel"/>
    <w:tmpl w:val="D89095F4"/>
    <w:lvl w:ilvl="0" w:tplc="CDACCF00">
      <w:start w:val="5"/>
      <w:numFmt w:val="bullet"/>
      <w:lvlText w:val="•"/>
      <w:lvlJc w:val="left"/>
      <w:pPr>
        <w:ind w:left="1080" w:hanging="720"/>
      </w:pPr>
      <w:rPr>
        <w:rFonts w:ascii="Calibri" w:eastAsiaTheme="minorEastAs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DD13394"/>
    <w:multiLevelType w:val="hybridMultilevel"/>
    <w:tmpl w:val="DA1601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96115E5"/>
    <w:multiLevelType w:val="hybridMultilevel"/>
    <w:tmpl w:val="606EB486"/>
    <w:lvl w:ilvl="0" w:tplc="4FA83786">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93C5FF7"/>
    <w:multiLevelType w:val="hybridMultilevel"/>
    <w:tmpl w:val="1D549A04"/>
    <w:lvl w:ilvl="0" w:tplc="4FA83786">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57D1A8B"/>
    <w:multiLevelType w:val="hybridMultilevel"/>
    <w:tmpl w:val="1F9055A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44F2DFD"/>
    <w:multiLevelType w:val="hybridMultilevel"/>
    <w:tmpl w:val="E162EEB0"/>
    <w:lvl w:ilvl="0" w:tplc="4FA83786">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79EC18BC"/>
    <w:multiLevelType w:val="hybridMultilevel"/>
    <w:tmpl w:val="37D699D4"/>
    <w:lvl w:ilvl="0" w:tplc="4FA83786">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69511377">
    <w:abstractNumId w:val="8"/>
  </w:num>
  <w:num w:numId="2" w16cid:durableId="551040145">
    <w:abstractNumId w:val="6"/>
  </w:num>
  <w:num w:numId="3" w16cid:durableId="799231734">
    <w:abstractNumId w:val="5"/>
  </w:num>
  <w:num w:numId="4" w16cid:durableId="563491645">
    <w:abstractNumId w:val="4"/>
  </w:num>
  <w:num w:numId="5" w16cid:durableId="1233081480">
    <w:abstractNumId w:val="7"/>
  </w:num>
  <w:num w:numId="6" w16cid:durableId="227154569">
    <w:abstractNumId w:val="3"/>
  </w:num>
  <w:num w:numId="7" w16cid:durableId="1360470352">
    <w:abstractNumId w:val="2"/>
  </w:num>
  <w:num w:numId="8" w16cid:durableId="848837013">
    <w:abstractNumId w:val="1"/>
  </w:num>
  <w:num w:numId="9" w16cid:durableId="1473670733">
    <w:abstractNumId w:val="0"/>
  </w:num>
  <w:num w:numId="10" w16cid:durableId="140969458">
    <w:abstractNumId w:val="13"/>
  </w:num>
  <w:num w:numId="11" w16cid:durableId="1089733138">
    <w:abstractNumId w:val="11"/>
  </w:num>
  <w:num w:numId="12" w16cid:durableId="1537497425">
    <w:abstractNumId w:val="14"/>
  </w:num>
  <w:num w:numId="13" w16cid:durableId="1235116962">
    <w:abstractNumId w:val="12"/>
  </w:num>
  <w:num w:numId="14" w16cid:durableId="383523544">
    <w:abstractNumId w:val="10"/>
  </w:num>
  <w:num w:numId="15" w16cid:durableId="1716613543">
    <w:abstractNumId w:val="9"/>
  </w:num>
  <w:num w:numId="16" w16cid:durableId="1384222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A4330"/>
    <w:rsid w:val="0013290F"/>
    <w:rsid w:val="0015074B"/>
    <w:rsid w:val="0024160B"/>
    <w:rsid w:val="00252965"/>
    <w:rsid w:val="0029639D"/>
    <w:rsid w:val="002C42CE"/>
    <w:rsid w:val="002D7B84"/>
    <w:rsid w:val="003116F5"/>
    <w:rsid w:val="00326F90"/>
    <w:rsid w:val="003A45AD"/>
    <w:rsid w:val="0041686E"/>
    <w:rsid w:val="0046315A"/>
    <w:rsid w:val="004C6A5F"/>
    <w:rsid w:val="004F251B"/>
    <w:rsid w:val="00565CF2"/>
    <w:rsid w:val="00573865"/>
    <w:rsid w:val="005A36A6"/>
    <w:rsid w:val="005E2083"/>
    <w:rsid w:val="007635B5"/>
    <w:rsid w:val="00780350"/>
    <w:rsid w:val="007D6FF2"/>
    <w:rsid w:val="007D778E"/>
    <w:rsid w:val="007F1F90"/>
    <w:rsid w:val="00801B91"/>
    <w:rsid w:val="008123F2"/>
    <w:rsid w:val="00815157"/>
    <w:rsid w:val="00836402"/>
    <w:rsid w:val="008625B9"/>
    <w:rsid w:val="00896605"/>
    <w:rsid w:val="009627CB"/>
    <w:rsid w:val="009776A3"/>
    <w:rsid w:val="009803A1"/>
    <w:rsid w:val="009809AC"/>
    <w:rsid w:val="00992D5E"/>
    <w:rsid w:val="009A27A6"/>
    <w:rsid w:val="009E0071"/>
    <w:rsid w:val="00A76370"/>
    <w:rsid w:val="00A77F00"/>
    <w:rsid w:val="00AA1D8D"/>
    <w:rsid w:val="00AC3DCD"/>
    <w:rsid w:val="00AD3534"/>
    <w:rsid w:val="00B47730"/>
    <w:rsid w:val="00BA4265"/>
    <w:rsid w:val="00BD5686"/>
    <w:rsid w:val="00C621D6"/>
    <w:rsid w:val="00C97364"/>
    <w:rsid w:val="00CB0664"/>
    <w:rsid w:val="00D06556"/>
    <w:rsid w:val="00E432C8"/>
    <w:rsid w:val="00E767B8"/>
    <w:rsid w:val="00F764DF"/>
    <w:rsid w:val="00FC525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52F7A579-FAB1-D844-A41F-402446AD3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C693F"/>
    <w:rPr>
      <w:rFonts w:ascii="Calibri" w:hAnsi="Calibri"/>
    </w:rPr>
  </w:style>
  <w:style w:type="paragraph" w:styleId="Titolo1">
    <w:name w:val="heading 1"/>
    <w:basedOn w:val="Normale"/>
    <w:next w:val="Normale"/>
    <w:link w:val="Titolo1Carattere"/>
    <w:uiPriority w:val="9"/>
    <w:qFormat/>
    <w:rsid w:val="00E767B8"/>
    <w:pPr>
      <w:keepNext/>
      <w:keepLines/>
      <w:spacing w:before="480" w:after="0"/>
      <w:outlineLvl w:val="0"/>
    </w:pPr>
    <w:rPr>
      <w:rFonts w:asciiTheme="majorHAnsi" w:eastAsiaTheme="majorEastAsia" w:hAnsiTheme="majorHAnsi" w:cstheme="majorBidi"/>
      <w:b/>
      <w:bCs/>
      <w:color w:val="365F91" w:themeColor="accent1" w:themeShade="BF"/>
      <w:sz w:val="44"/>
      <w:szCs w:val="44"/>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E767B8"/>
    <w:rPr>
      <w:rFonts w:asciiTheme="majorHAnsi" w:eastAsiaTheme="majorEastAsia" w:hAnsiTheme="majorHAnsi" w:cstheme="majorBidi"/>
      <w:b/>
      <w:bCs/>
      <w:color w:val="365F91" w:themeColor="accent1" w:themeShade="BF"/>
      <w:sz w:val="44"/>
      <w:szCs w:val="44"/>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10</Pages>
  <Words>2324</Words>
  <Characters>15019</Characters>
  <Application>Microsoft Office Word</Application>
  <DocSecurity>0</DocSecurity>
  <Lines>653</Lines>
  <Paragraphs>468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Enrico Anghileri</cp:lastModifiedBy>
  <cp:revision>45</cp:revision>
  <dcterms:created xsi:type="dcterms:W3CDTF">2013-12-23T23:15:00Z</dcterms:created>
  <dcterms:modified xsi:type="dcterms:W3CDTF">2026-05-29T14:55:00Z</dcterms:modified>
  <cp:category/>
</cp:coreProperties>
</file>